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0C0C" w:rsidRPr="00661C65" w:rsidRDefault="00860C0C" w:rsidP="00196760">
      <w:pPr>
        <w:tabs>
          <w:tab w:val="left" w:pos="1701"/>
        </w:tabs>
        <w:rPr>
          <w:sz w:val="22"/>
          <w:szCs w:val="22"/>
        </w:rPr>
      </w:pPr>
      <w:r w:rsidRPr="00661C65">
        <w:rPr>
          <w:b/>
          <w:sz w:val="22"/>
          <w:szCs w:val="22"/>
        </w:rPr>
        <w:t>Source:</w:t>
      </w:r>
      <w:r w:rsidRPr="00661C65">
        <w:rPr>
          <w:sz w:val="22"/>
          <w:szCs w:val="22"/>
        </w:rPr>
        <w:t xml:space="preserve"> </w:t>
      </w:r>
      <w:r w:rsidRPr="00661C65">
        <w:rPr>
          <w:sz w:val="22"/>
          <w:szCs w:val="22"/>
        </w:rPr>
        <w:tab/>
        <w:t>Qualcomm</w:t>
      </w:r>
      <w:r>
        <w:rPr>
          <w:sz w:val="22"/>
          <w:szCs w:val="22"/>
        </w:rPr>
        <w:t xml:space="preserve"> Incorporated</w:t>
      </w:r>
    </w:p>
    <w:p w:rsidR="00860C0C" w:rsidRDefault="00860C0C" w:rsidP="00196760">
      <w:pPr>
        <w:tabs>
          <w:tab w:val="left" w:pos="1701"/>
        </w:tabs>
        <w:ind w:left="1698" w:hangingChars="769" w:hanging="1698"/>
        <w:rPr>
          <w:sz w:val="22"/>
          <w:szCs w:val="22"/>
        </w:rPr>
      </w:pPr>
      <w:r w:rsidRPr="00661C65">
        <w:rPr>
          <w:b/>
          <w:sz w:val="22"/>
          <w:szCs w:val="22"/>
        </w:rPr>
        <w:t xml:space="preserve">Title:   </w:t>
      </w:r>
      <w:r w:rsidRPr="00661C65">
        <w:rPr>
          <w:sz w:val="22"/>
          <w:szCs w:val="22"/>
        </w:rPr>
        <w:t xml:space="preserve"> </w:t>
      </w:r>
      <w:r w:rsidRPr="00661C65">
        <w:rPr>
          <w:sz w:val="22"/>
          <w:szCs w:val="22"/>
        </w:rPr>
        <w:tab/>
      </w:r>
      <w:r w:rsidR="00B24AEA">
        <w:rPr>
          <w:sz w:val="22"/>
          <w:szCs w:val="22"/>
        </w:rPr>
        <w:t>Peak-to-Average Power Ratio and Power Spectral Density of Tone-Phase-Shift Keying</w:t>
      </w:r>
    </w:p>
    <w:p w:rsidR="00860C0C" w:rsidRPr="0098008C" w:rsidRDefault="00860C0C" w:rsidP="00196760">
      <w:pPr>
        <w:tabs>
          <w:tab w:val="left" w:pos="1701"/>
        </w:tabs>
        <w:ind w:left="658" w:hangingChars="298" w:hanging="658"/>
        <w:rPr>
          <w:sz w:val="22"/>
          <w:szCs w:val="22"/>
        </w:rPr>
      </w:pPr>
      <w:r>
        <w:rPr>
          <w:b/>
          <w:sz w:val="22"/>
          <w:szCs w:val="22"/>
        </w:rPr>
        <w:t>Agenda:</w:t>
      </w:r>
      <w:r>
        <w:rPr>
          <w:sz w:val="22"/>
          <w:szCs w:val="22"/>
        </w:rPr>
        <w:tab/>
      </w:r>
      <w:r w:rsidR="007453D4">
        <w:rPr>
          <w:szCs w:val="22"/>
        </w:rPr>
        <w:t>7.1.5.3.5</w:t>
      </w:r>
    </w:p>
    <w:p w:rsidR="00860C0C" w:rsidRPr="0044681B" w:rsidRDefault="00860C0C" w:rsidP="00196760">
      <w:pPr>
        <w:tabs>
          <w:tab w:val="left" w:pos="1701"/>
        </w:tabs>
        <w:rPr>
          <w:sz w:val="22"/>
          <w:szCs w:val="22"/>
        </w:rPr>
      </w:pPr>
      <w:r w:rsidRPr="00055A5F">
        <w:rPr>
          <w:b/>
        </w:rPr>
        <w:t>Document for:</w:t>
      </w:r>
      <w:r w:rsidRPr="00661C65">
        <w:tab/>
      </w:r>
      <w:r w:rsidR="00B24AEA">
        <w:t xml:space="preserve">Discussion </w:t>
      </w:r>
    </w:p>
    <w:p w:rsidR="00860C0C" w:rsidRPr="00860C0C" w:rsidRDefault="00860C0C" w:rsidP="00860C0C">
      <w:pPr>
        <w:pStyle w:val="Heading1"/>
      </w:pPr>
      <w:r w:rsidRPr="00860C0C">
        <w:t>Introduction</w:t>
      </w:r>
    </w:p>
    <w:p w:rsidR="00DA4DEE" w:rsidRDefault="00B24AEA" w:rsidP="00860C0C">
      <w:r>
        <w:t xml:space="preserve">Tone-Phase-Shift Keying </w:t>
      </w:r>
      <w:r w:rsidR="009D3981">
        <w:t xml:space="preserve">(TPSK) </w:t>
      </w:r>
      <w:r>
        <w:t>[1] was proposed as a modulation scheme for the uplink transmission of narrow band OFDMA (NB-OFDMA) [2]</w:t>
      </w:r>
      <w:r w:rsidR="00DE788C">
        <w:t xml:space="preserve">, </w:t>
      </w:r>
      <w:r w:rsidR="00DA4DEE">
        <w:t xml:space="preserve">for it </w:t>
      </w:r>
      <w:r w:rsidR="00DE788C">
        <w:t xml:space="preserve">has </w:t>
      </w:r>
      <w:r w:rsidR="005E71CF">
        <w:t xml:space="preserve">a </w:t>
      </w:r>
      <w:r w:rsidR="00DE788C">
        <w:t>constant envelop</w:t>
      </w:r>
      <w:r w:rsidR="005E71CF">
        <w:t>e</w:t>
      </w:r>
      <w:r w:rsidR="00DE788C">
        <w:t xml:space="preserve"> and </w:t>
      </w:r>
      <w:r w:rsidR="009D3981">
        <w:t>allow</w:t>
      </w:r>
      <w:r w:rsidR="00DA4DEE">
        <w:t>s</w:t>
      </w:r>
      <w:r w:rsidR="009D3981">
        <w:t xml:space="preserve"> the use of efficient power amplifiers</w:t>
      </w:r>
      <w:r w:rsidR="000D704A">
        <w:t xml:space="preserve"> (PAs)</w:t>
      </w:r>
      <w:r w:rsidR="009D3981">
        <w:t>.</w:t>
      </w:r>
      <w:r w:rsidR="00DA4DEE">
        <w:t xml:space="preserve"> </w:t>
      </w:r>
      <w:r w:rsidR="00DE788C">
        <w:t>The signal envelop</w:t>
      </w:r>
      <w:r w:rsidR="005E71CF">
        <w:t>e</w:t>
      </w:r>
      <w:r w:rsidR="00DE788C">
        <w:t xml:space="preserve"> of TPSK, however, may no longer be constant if transmit filtering is required t</w:t>
      </w:r>
      <w:r w:rsidR="00DA4DEE">
        <w:t>o meet a tight power spectral density mask</w:t>
      </w:r>
      <w:r w:rsidR="00DE788C">
        <w:t>.</w:t>
      </w:r>
    </w:p>
    <w:p w:rsidR="000A33CA" w:rsidRPr="00055FC2" w:rsidRDefault="00DA4DEE" w:rsidP="00055A5F">
      <w:pPr>
        <w:spacing w:after="120"/>
      </w:pPr>
      <w:r>
        <w:t xml:space="preserve">In this document, it is shown that through simple windowing and filtering TPSK </w:t>
      </w:r>
      <w:r w:rsidR="005865FC">
        <w:t xml:space="preserve">can meet the out-of-band (more than 100 kHz away from the carrier) GSM PSD mask for </w:t>
      </w:r>
      <w:r>
        <w:t xml:space="preserve">33 </w:t>
      </w:r>
      <w:proofErr w:type="spellStart"/>
      <w:r>
        <w:t>dBm</w:t>
      </w:r>
      <w:proofErr w:type="spellEnd"/>
      <w:r>
        <w:t xml:space="preserve"> transmit power</w:t>
      </w:r>
      <w:r w:rsidR="005865FC">
        <w:t xml:space="preserve"> [3] and still keep essentially 0 dB PAPR.</w:t>
      </w:r>
    </w:p>
    <w:p w:rsidR="00860C0C" w:rsidRPr="00860C0C" w:rsidRDefault="005865FC" w:rsidP="00860C0C">
      <w:pPr>
        <w:pStyle w:val="Heading1"/>
      </w:pPr>
      <w:r>
        <w:t>Transmit Windowing &amp; Filtering</w:t>
      </w:r>
    </w:p>
    <w:p w:rsidR="00B07857" w:rsidRDefault="005C5959" w:rsidP="00055A5F">
      <w:pPr>
        <w:spacing w:after="120"/>
        <w:rPr>
          <w:rStyle w:val="StyleLatinBodyCalibri11pt"/>
          <w:rFonts w:ascii="Times New Roman" w:hAnsi="Times New Roman" w:cs="Times New Roman"/>
          <w:sz w:val="21"/>
          <w:szCs w:val="21"/>
        </w:rPr>
      </w:pPr>
      <w:r>
        <w:rPr>
          <w:rStyle w:val="StyleLatinBodyCalibri11pt"/>
          <w:rFonts w:ascii="Times New Roman" w:hAnsi="Times New Roman" w:cs="Times New Roman"/>
          <w:sz w:val="21"/>
          <w:szCs w:val="21"/>
        </w:rPr>
        <w:t>Transmit filtering/pulse shaping</w:t>
      </w:r>
      <w:r w:rsidR="000D704A">
        <w:rPr>
          <w:rStyle w:val="StyleLatinBodyCalibri11pt"/>
          <w:rFonts w:ascii="Times New Roman" w:hAnsi="Times New Roman" w:cs="Times New Roman"/>
          <w:sz w:val="21"/>
          <w:szCs w:val="21"/>
        </w:rPr>
        <w:t>,</w:t>
      </w:r>
      <w:r>
        <w:rPr>
          <w:rStyle w:val="StyleLatinBodyCalibri11pt"/>
          <w:rFonts w:ascii="Times New Roman" w:hAnsi="Times New Roman" w:cs="Times New Roman"/>
          <w:sz w:val="21"/>
          <w:szCs w:val="21"/>
        </w:rPr>
        <w:t xml:space="preserve"> often used to limit out-of-band power spectrum density of OFDMA </w:t>
      </w:r>
      <w:r w:rsidR="00DE788C">
        <w:rPr>
          <w:rStyle w:val="StyleLatinBodyCalibri11pt"/>
          <w:rFonts w:ascii="Times New Roman" w:hAnsi="Times New Roman" w:cs="Times New Roman"/>
          <w:sz w:val="21"/>
          <w:szCs w:val="21"/>
        </w:rPr>
        <w:t>signals</w:t>
      </w:r>
      <w:r w:rsidR="000D704A">
        <w:rPr>
          <w:rStyle w:val="StyleLatinBodyCalibri11pt"/>
          <w:rFonts w:ascii="Times New Roman" w:hAnsi="Times New Roman" w:cs="Times New Roman"/>
          <w:sz w:val="21"/>
          <w:szCs w:val="21"/>
        </w:rPr>
        <w:t>,</w:t>
      </w:r>
      <w:r w:rsidR="00DE788C">
        <w:rPr>
          <w:rStyle w:val="StyleLatinBodyCalibri11pt"/>
          <w:rFonts w:ascii="Times New Roman" w:hAnsi="Times New Roman" w:cs="Times New Roman"/>
          <w:sz w:val="21"/>
          <w:szCs w:val="21"/>
        </w:rPr>
        <w:t xml:space="preserve"> can cause signal </w:t>
      </w:r>
      <w:r w:rsidR="00F17BAB">
        <w:rPr>
          <w:rStyle w:val="StyleLatinBodyCalibri11pt"/>
          <w:rFonts w:ascii="Times New Roman" w:hAnsi="Times New Roman" w:cs="Times New Roman"/>
          <w:sz w:val="21"/>
          <w:szCs w:val="21"/>
        </w:rPr>
        <w:t>magnitude</w:t>
      </w:r>
      <w:r w:rsidR="00DE788C">
        <w:rPr>
          <w:rStyle w:val="StyleLatinBodyCalibri11pt"/>
          <w:rFonts w:ascii="Times New Roman" w:hAnsi="Times New Roman" w:cs="Times New Roman"/>
          <w:sz w:val="21"/>
          <w:szCs w:val="21"/>
        </w:rPr>
        <w:t xml:space="preserve"> variation at TPSK modulated OFDMA symbol boundaries where phase discontinuity exists.</w:t>
      </w:r>
      <w:r w:rsidR="000D704A">
        <w:rPr>
          <w:rStyle w:val="StyleLatinBodyCalibri11pt"/>
          <w:rFonts w:ascii="Times New Roman" w:hAnsi="Times New Roman" w:cs="Times New Roman"/>
          <w:sz w:val="21"/>
          <w:szCs w:val="21"/>
        </w:rPr>
        <w:t xml:space="preserve"> To maintain small PAPR and hence higher PA efficiency, it is crucial to control </w:t>
      </w:r>
      <w:r w:rsidR="00F17BAB">
        <w:rPr>
          <w:rStyle w:val="StyleLatinBodyCalibri11pt"/>
          <w:rFonts w:ascii="Times New Roman" w:hAnsi="Times New Roman" w:cs="Times New Roman"/>
          <w:sz w:val="21"/>
          <w:szCs w:val="21"/>
        </w:rPr>
        <w:t>magnitude</w:t>
      </w:r>
      <w:r w:rsidR="000D704A">
        <w:rPr>
          <w:rStyle w:val="StyleLatinBodyCalibri11pt"/>
          <w:rFonts w:ascii="Times New Roman" w:hAnsi="Times New Roman" w:cs="Times New Roman"/>
          <w:sz w:val="21"/>
          <w:szCs w:val="21"/>
        </w:rPr>
        <w:t xml:space="preserve"> growth so </w:t>
      </w:r>
      <w:r w:rsidR="00B07857">
        <w:rPr>
          <w:rStyle w:val="StyleLatinBodyCalibri11pt"/>
          <w:rFonts w:ascii="Times New Roman" w:hAnsi="Times New Roman" w:cs="Times New Roman"/>
          <w:sz w:val="21"/>
          <w:szCs w:val="21"/>
        </w:rPr>
        <w:t>that the</w:t>
      </w:r>
      <w:r w:rsidR="000D704A">
        <w:rPr>
          <w:rStyle w:val="StyleLatinBodyCalibri11pt"/>
          <w:rFonts w:ascii="Times New Roman" w:hAnsi="Times New Roman" w:cs="Times New Roman"/>
          <w:sz w:val="21"/>
          <w:szCs w:val="21"/>
        </w:rPr>
        <w:t xml:space="preserve"> PA</w:t>
      </w:r>
      <w:r w:rsidR="00B07857">
        <w:rPr>
          <w:rStyle w:val="StyleLatinBodyCalibri11pt"/>
          <w:rFonts w:ascii="Times New Roman" w:hAnsi="Times New Roman" w:cs="Times New Roman"/>
          <w:sz w:val="21"/>
          <w:szCs w:val="21"/>
        </w:rPr>
        <w:t xml:space="preserve">s can work at full capacity (e.g., no </w:t>
      </w:r>
      <w:proofErr w:type="spellStart"/>
      <w:r w:rsidR="00B07857">
        <w:rPr>
          <w:rStyle w:val="StyleLatinBodyCalibri11pt"/>
          <w:rFonts w:ascii="Times New Roman" w:hAnsi="Times New Roman" w:cs="Times New Roman"/>
          <w:sz w:val="21"/>
          <w:szCs w:val="21"/>
        </w:rPr>
        <w:t>backoff</w:t>
      </w:r>
      <w:proofErr w:type="spellEnd"/>
      <w:r w:rsidR="00B07857">
        <w:rPr>
          <w:rStyle w:val="StyleLatinBodyCalibri11pt"/>
          <w:rFonts w:ascii="Times New Roman" w:hAnsi="Times New Roman" w:cs="Times New Roman"/>
          <w:sz w:val="21"/>
          <w:szCs w:val="21"/>
        </w:rPr>
        <w:t xml:space="preserve">) for the most of the time. </w:t>
      </w:r>
    </w:p>
    <w:p w:rsidR="00BF47E7" w:rsidRDefault="00B07857" w:rsidP="00860C0C">
      <w:pPr>
        <w:rPr>
          <w:rStyle w:val="StyleLatinBodyCalibri11pt"/>
          <w:rFonts w:ascii="Times New Roman" w:hAnsi="Times New Roman" w:cs="Times New Roman"/>
          <w:sz w:val="21"/>
          <w:szCs w:val="21"/>
        </w:rPr>
      </w:pPr>
      <w:r>
        <w:rPr>
          <w:rStyle w:val="StyleLatinBodyCalibri11pt"/>
          <w:rFonts w:ascii="Times New Roman" w:hAnsi="Times New Roman" w:cs="Times New Roman"/>
          <w:sz w:val="21"/>
          <w:szCs w:val="21"/>
        </w:rPr>
        <w:t>To control magnitude growth after filtering, some windowing techniques can be used. Below, a tra</w:t>
      </w:r>
      <w:r w:rsidR="00BF47E7">
        <w:rPr>
          <w:rStyle w:val="StyleLatinBodyCalibri11pt"/>
          <w:rFonts w:ascii="Times New Roman" w:hAnsi="Times New Roman" w:cs="Times New Roman"/>
          <w:sz w:val="21"/>
          <w:szCs w:val="21"/>
        </w:rPr>
        <w:t>nsmitter architecture</w:t>
      </w:r>
      <w:r>
        <w:rPr>
          <w:rStyle w:val="StyleLatinBodyCalibri11pt"/>
          <w:rFonts w:ascii="Times New Roman" w:hAnsi="Times New Roman" w:cs="Times New Roman"/>
          <w:sz w:val="21"/>
          <w:szCs w:val="21"/>
        </w:rPr>
        <w:t xml:space="preserve"> is considered as</w:t>
      </w:r>
      <w:r w:rsidR="00F17BAB">
        <w:rPr>
          <w:rStyle w:val="StyleLatinBodyCalibri11pt"/>
          <w:rFonts w:ascii="Times New Roman" w:hAnsi="Times New Roman" w:cs="Times New Roman"/>
          <w:sz w:val="21"/>
          <w:szCs w:val="21"/>
        </w:rPr>
        <w:t xml:space="preserve"> depicted in Figure 1. Compared</w:t>
      </w:r>
      <w:r>
        <w:rPr>
          <w:rStyle w:val="StyleLatinBodyCalibri11pt"/>
          <w:rFonts w:ascii="Times New Roman" w:hAnsi="Times New Roman" w:cs="Times New Roman"/>
          <w:sz w:val="21"/>
          <w:szCs w:val="21"/>
        </w:rPr>
        <w:t xml:space="preserve"> with</w:t>
      </w:r>
      <w:r w:rsidR="00BF47E7">
        <w:rPr>
          <w:rStyle w:val="StyleLatinBodyCalibri11pt"/>
          <w:rFonts w:ascii="Times New Roman" w:hAnsi="Times New Roman" w:cs="Times New Roman"/>
          <w:sz w:val="21"/>
          <w:szCs w:val="21"/>
        </w:rPr>
        <w:t xml:space="preserve"> a</w:t>
      </w:r>
      <w:r>
        <w:rPr>
          <w:rStyle w:val="StyleLatinBodyCalibri11pt"/>
          <w:rFonts w:ascii="Times New Roman" w:hAnsi="Times New Roman" w:cs="Times New Roman"/>
          <w:sz w:val="21"/>
          <w:szCs w:val="21"/>
        </w:rPr>
        <w:t xml:space="preserve"> typical OFDMA transmitter, a windowing/overlap block is </w:t>
      </w:r>
      <w:r w:rsidR="00F17BAB">
        <w:rPr>
          <w:rStyle w:val="StyleLatinBodyCalibri11pt"/>
          <w:rFonts w:ascii="Times New Roman" w:hAnsi="Times New Roman" w:cs="Times New Roman"/>
          <w:sz w:val="21"/>
          <w:szCs w:val="21"/>
        </w:rPr>
        <w:t xml:space="preserve">inserted </w:t>
      </w:r>
      <w:r>
        <w:rPr>
          <w:rStyle w:val="StyleLatinBodyCalibri11pt"/>
          <w:rFonts w:ascii="Times New Roman" w:hAnsi="Times New Roman" w:cs="Times New Roman"/>
          <w:sz w:val="21"/>
          <w:szCs w:val="21"/>
        </w:rPr>
        <w:t xml:space="preserve">after the IFFT block. </w:t>
      </w:r>
      <w:r w:rsidR="00BF47E7">
        <w:rPr>
          <w:rStyle w:val="StyleLatinBodyCalibri11pt"/>
          <w:rFonts w:ascii="Times New Roman" w:hAnsi="Times New Roman" w:cs="Times New Roman"/>
          <w:sz w:val="21"/>
          <w:szCs w:val="21"/>
        </w:rPr>
        <w:t xml:space="preserve">Note that the transmitter shown in Figure 1 is considered as an example </w:t>
      </w:r>
      <w:r w:rsidR="00F17BAB">
        <w:rPr>
          <w:rStyle w:val="StyleLatinBodyCalibri11pt"/>
          <w:rFonts w:ascii="Times New Roman" w:hAnsi="Times New Roman" w:cs="Times New Roman"/>
          <w:sz w:val="21"/>
          <w:szCs w:val="21"/>
        </w:rPr>
        <w:t xml:space="preserve">only </w:t>
      </w:r>
      <w:r w:rsidR="00BF47E7">
        <w:rPr>
          <w:rStyle w:val="StyleLatinBodyCalibri11pt"/>
          <w:rFonts w:ascii="Times New Roman" w:hAnsi="Times New Roman" w:cs="Times New Roman"/>
          <w:sz w:val="21"/>
          <w:szCs w:val="21"/>
        </w:rPr>
        <w:t>and other implementation architectures exist.</w:t>
      </w:r>
    </w:p>
    <w:p w:rsidR="00BF47E7" w:rsidRDefault="00BF47E7" w:rsidP="00860C0C">
      <w:pPr>
        <w:rPr>
          <w:rStyle w:val="StyleLatinBodyCalibri11pt"/>
          <w:rFonts w:ascii="Times New Roman" w:hAnsi="Times New Roman" w:cs="Times New Roman"/>
          <w:sz w:val="21"/>
          <w:szCs w:val="21"/>
        </w:rPr>
      </w:pPr>
    </w:p>
    <w:p w:rsidR="00BF47E7" w:rsidRDefault="00E7527B" w:rsidP="00055A5F">
      <w:pPr>
        <w:keepNext/>
        <w:jc w:val="center"/>
      </w:pPr>
      <w:r>
        <w:rPr>
          <w:rStyle w:val="StyleLatinBodyCalibri11pt"/>
          <w:rFonts w:ascii="Times New Roman" w:hAnsi="Times New Roman" w:cs="Times New Roman"/>
          <w:sz w:val="21"/>
          <w:szCs w:val="21"/>
        </w:rPr>
        <w:object w:dxaOrig="7882" w:dyaOrig="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3pt;height:43.2pt" o:ole="">
            <v:imagedata r:id="rId8" o:title=""/>
          </v:shape>
          <o:OLEObject Type="Embed" ProgID="Visio.Drawing.11" ShapeID="_x0000_i1025" DrawAspect="Content" ObjectID="_1486906294" r:id="rId9"/>
        </w:object>
      </w:r>
    </w:p>
    <w:p w:rsidR="00BF47E7" w:rsidRDefault="00BF47E7" w:rsidP="00055A5F">
      <w:pPr>
        <w:pStyle w:val="Caption"/>
        <w:jc w:val="center"/>
      </w:pPr>
      <w:r>
        <w:t xml:space="preserve">Figure </w:t>
      </w:r>
      <w:fldSimple w:instr=" SEQ Figure \* ARABIC ">
        <w:r w:rsidR="006D5B24">
          <w:rPr>
            <w:noProof/>
          </w:rPr>
          <w:t>1</w:t>
        </w:r>
      </w:fldSimple>
      <w:r>
        <w:t>. An example transmitter for TPSK.</w:t>
      </w:r>
    </w:p>
    <w:p w:rsidR="00BF47E7" w:rsidRDefault="00BF47E7" w:rsidP="00BF47E7"/>
    <w:p w:rsidR="00BF47E7" w:rsidRDefault="00BF47E7" w:rsidP="00BF47E7">
      <w:r>
        <w:t xml:space="preserve">The </w:t>
      </w:r>
      <w:r w:rsidR="00D21C38">
        <w:t xml:space="preserve">length of the symmetric </w:t>
      </w:r>
      <w:r>
        <w:t>windowing function</w:t>
      </w:r>
      <w:r w:rsidR="00D21C38">
        <w:t xml:space="preserve"> is N+Lcp+2, with N=128 as the length of FFT and </w:t>
      </w:r>
      <w:proofErr w:type="spellStart"/>
      <w:r w:rsidR="00D21C38">
        <w:t>Lcp</w:t>
      </w:r>
      <w:proofErr w:type="spellEnd"/>
      <w:r w:rsidR="00D21C38">
        <w:t xml:space="preserve">=8 as the length of cyclic prefix (CP). The IFFT output is cyclically extended to N+CP+2 samples with </w:t>
      </w:r>
      <w:proofErr w:type="spellStart"/>
      <w:r w:rsidR="00D21C38">
        <w:t>Lcp</w:t>
      </w:r>
      <w:proofErr w:type="spellEnd"/>
      <w:r w:rsidR="00D21C38">
        <w:t xml:space="preserve"> samples at the beginning and 2 samples at the end. After applying the windowing to the extended IFFT outputs, two consecutive symbols are overlapped </w:t>
      </w:r>
      <w:r w:rsidR="00F17BAB">
        <w:t xml:space="preserve">by 2 samples </w:t>
      </w:r>
      <w:r w:rsidR="00D21C38">
        <w:t>and summed so that the CP overhead remain</w:t>
      </w:r>
      <w:r w:rsidR="00F17BAB">
        <w:t>s</w:t>
      </w:r>
      <w:r w:rsidR="00D21C38">
        <w:t xml:space="preserve"> to be </w:t>
      </w:r>
      <w:proofErr w:type="spellStart"/>
      <w:r w:rsidR="00D21C38">
        <w:t>Lcp</w:t>
      </w:r>
      <w:proofErr w:type="spellEnd"/>
      <w:r w:rsidR="00D21C38">
        <w:t xml:space="preserve">. The windowing and overlapping </w:t>
      </w:r>
      <w:r w:rsidR="00E7527B">
        <w:t>process is</w:t>
      </w:r>
      <w:r w:rsidR="00D21C38">
        <w:t xml:space="preserve"> depicted in Figure 2.  </w:t>
      </w:r>
    </w:p>
    <w:p w:rsidR="00E7527B" w:rsidRDefault="008416B1" w:rsidP="00055A5F">
      <w:pPr>
        <w:keepNext/>
        <w:jc w:val="center"/>
      </w:pPr>
      <w:r>
        <w:object w:dxaOrig="10755" w:dyaOrig="3795">
          <v:shape id="_x0000_i1026" type="#_x0000_t75" style="width:406.65pt;height:187.2pt" o:ole="">
            <v:imagedata r:id="rId10" o:title=""/>
          </v:shape>
          <o:OLEObject Type="Embed" ProgID="Visio.Drawing.11" ShapeID="_x0000_i1026" DrawAspect="Content" ObjectID="_1486906295" r:id="rId11"/>
        </w:object>
      </w:r>
    </w:p>
    <w:p w:rsidR="00E7527B" w:rsidRDefault="00E7527B" w:rsidP="00055A5F">
      <w:pPr>
        <w:pStyle w:val="Caption"/>
        <w:jc w:val="center"/>
      </w:pPr>
      <w:r>
        <w:t xml:space="preserve">Figure </w:t>
      </w:r>
      <w:fldSimple w:instr=" SEQ Figure \* ARABIC ">
        <w:r w:rsidR="006D5B24">
          <w:rPr>
            <w:noProof/>
          </w:rPr>
          <w:t>2</w:t>
        </w:r>
      </w:fldSimple>
      <w:r>
        <w:t xml:space="preserve"> Windowing and Overlapping.</w:t>
      </w:r>
    </w:p>
    <w:p w:rsidR="00D21C38" w:rsidRDefault="00D21C38" w:rsidP="00BF47E7"/>
    <w:p w:rsidR="00E7527B" w:rsidRDefault="00E7527B" w:rsidP="00860C0C">
      <w:r>
        <w:t xml:space="preserve">After windowing and overlapping, the signal is </w:t>
      </w:r>
      <w:proofErr w:type="spellStart"/>
      <w:r>
        <w:t>upsampled</w:t>
      </w:r>
      <w:proofErr w:type="spellEnd"/>
      <w:r>
        <w:t xml:space="preserve"> and filtered. For demonstration purpose, the signal is 16x </w:t>
      </w:r>
      <w:proofErr w:type="spellStart"/>
      <w:r>
        <w:t>upsampled</w:t>
      </w:r>
      <w:proofErr w:type="spellEnd"/>
      <w:r>
        <w:t xml:space="preserve"> with multiple stages of </w:t>
      </w:r>
      <w:proofErr w:type="spellStart"/>
      <w:r>
        <w:t>upsampling</w:t>
      </w:r>
      <w:proofErr w:type="spellEnd"/>
      <w:r>
        <w:t xml:space="preserve"> and filtering. At each stage, the signal is </w:t>
      </w:r>
      <w:proofErr w:type="spellStart"/>
      <w:r>
        <w:t>upsampled</w:t>
      </w:r>
      <w:proofErr w:type="spellEnd"/>
      <w:r>
        <w:t xml:space="preserve"> by 2 wit</w:t>
      </w:r>
      <w:r w:rsidR="008C16FB">
        <w:t xml:space="preserve">h 0s inserted followed by a </w:t>
      </w:r>
      <w:proofErr w:type="spellStart"/>
      <w:r w:rsidR="008C16FB">
        <w:t>low</w:t>
      </w:r>
      <w:r>
        <w:t>pass</w:t>
      </w:r>
      <w:proofErr w:type="spellEnd"/>
      <w:r>
        <w:t xml:space="preserve"> filter whose impulse response and frequency response are given in Figures 3 and 4</w:t>
      </w:r>
      <w:r w:rsidR="00712111">
        <w:t>, respectively</w:t>
      </w:r>
      <w:r>
        <w:t>.</w:t>
      </w:r>
    </w:p>
    <w:p w:rsidR="00712111" w:rsidRDefault="00712111" w:rsidP="00055A5F">
      <w:pPr>
        <w:keepNext/>
        <w:jc w:val="center"/>
      </w:pPr>
      <w:r w:rsidRPr="00712111">
        <w:rPr>
          <w:noProof/>
          <w:lang w:val="en-GB" w:eastAsia="en-GB"/>
        </w:rPr>
        <w:drawing>
          <wp:inline distT="0" distB="0" distL="0" distR="0" wp14:anchorId="5DBFA8AF" wp14:editId="1CB7314B">
            <wp:extent cx="3876039" cy="24288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98007" cy="2442641"/>
                    </a:xfrm>
                    <a:prstGeom prst="rect">
                      <a:avLst/>
                    </a:prstGeom>
                    <a:noFill/>
                    <a:ln>
                      <a:noFill/>
                    </a:ln>
                  </pic:spPr>
                </pic:pic>
              </a:graphicData>
            </a:graphic>
          </wp:inline>
        </w:drawing>
      </w:r>
    </w:p>
    <w:p w:rsidR="00E7527B" w:rsidRDefault="00712111" w:rsidP="00055A5F">
      <w:pPr>
        <w:pStyle w:val="Caption"/>
        <w:jc w:val="center"/>
      </w:pPr>
      <w:r>
        <w:t xml:space="preserve">Figure </w:t>
      </w:r>
      <w:fldSimple w:instr=" SEQ Figure \* ARABIC ">
        <w:r w:rsidR="006D5B24">
          <w:rPr>
            <w:noProof/>
          </w:rPr>
          <w:t>3</w:t>
        </w:r>
      </w:fldSimple>
      <w:r>
        <w:t xml:space="preserve"> IR of </w:t>
      </w:r>
      <w:r w:rsidR="00903644">
        <w:t>the</w:t>
      </w:r>
      <w:r w:rsidR="008C16FB">
        <w:t xml:space="preserve"> anti-aliasing</w:t>
      </w:r>
      <w:r>
        <w:t xml:space="preserve"> filter.</w:t>
      </w:r>
    </w:p>
    <w:p w:rsidR="00903644" w:rsidRDefault="00903644" w:rsidP="00055A5F">
      <w:pPr>
        <w:keepNext/>
        <w:jc w:val="center"/>
      </w:pPr>
      <w:r w:rsidRPr="003F237C">
        <w:rPr>
          <w:noProof/>
          <w:lang w:val="en-GB" w:eastAsia="en-GB"/>
        </w:rPr>
        <w:lastRenderedPageBreak/>
        <w:drawing>
          <wp:inline distT="0" distB="0" distL="0" distR="0" wp14:anchorId="303C9EAD" wp14:editId="20A00E0B">
            <wp:extent cx="4656945" cy="26574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69801" cy="2664811"/>
                    </a:xfrm>
                    <a:prstGeom prst="rect">
                      <a:avLst/>
                    </a:prstGeom>
                    <a:noFill/>
                    <a:ln>
                      <a:noFill/>
                    </a:ln>
                  </pic:spPr>
                </pic:pic>
              </a:graphicData>
            </a:graphic>
          </wp:inline>
        </w:drawing>
      </w:r>
    </w:p>
    <w:p w:rsidR="00712111" w:rsidRDefault="00903644" w:rsidP="00055A5F">
      <w:pPr>
        <w:pStyle w:val="Caption"/>
        <w:jc w:val="center"/>
      </w:pPr>
      <w:r>
        <w:t xml:space="preserve">Figure </w:t>
      </w:r>
      <w:fldSimple w:instr=" SEQ Figure \* ARABIC ">
        <w:r w:rsidR="006D5B24">
          <w:rPr>
            <w:noProof/>
          </w:rPr>
          <w:t>4</w:t>
        </w:r>
      </w:fldSimple>
      <w:r>
        <w:t xml:space="preserve"> Frequency response of the </w:t>
      </w:r>
      <w:r w:rsidR="008C16FB">
        <w:t>anti-aliasing</w:t>
      </w:r>
      <w:r>
        <w:t xml:space="preserve"> filter.</w:t>
      </w:r>
    </w:p>
    <w:p w:rsidR="00712111" w:rsidRPr="00712111" w:rsidRDefault="00712111" w:rsidP="00712111"/>
    <w:p w:rsidR="00B55314" w:rsidRDefault="00903644" w:rsidP="00860C0C">
      <w:r>
        <w:t xml:space="preserve">Several symbol durations of the output of the </w:t>
      </w:r>
      <w:proofErr w:type="spellStart"/>
      <w:r>
        <w:t>upsampling</w:t>
      </w:r>
      <w:proofErr w:type="spellEnd"/>
      <w:r>
        <w:t xml:space="preserve"> and filtering stage is </w:t>
      </w:r>
      <w:r w:rsidR="00B55314">
        <w:t>given in Figure 5 and a zoom region of CP p</w:t>
      </w:r>
      <w:r w:rsidR="008C16FB">
        <w:t>art is given in Figure 6. From the figures</w:t>
      </w:r>
      <w:r w:rsidR="00B55314">
        <w:t>, it can be seen that the magnitude growth is about 0.1 dB</w:t>
      </w:r>
      <w:r w:rsidR="008C16FB">
        <w:t xml:space="preserve"> and</w:t>
      </w:r>
      <w:r w:rsidR="002452D4">
        <w:t xml:space="preserve"> the magnitude variation is limited within </w:t>
      </w:r>
      <w:r w:rsidR="00FE0F3A">
        <w:t>less than 100 samples (about 6 samples at original sampling rate).</w:t>
      </w:r>
    </w:p>
    <w:p w:rsidR="00B55314" w:rsidRDefault="00B55314" w:rsidP="00860C0C"/>
    <w:p w:rsidR="00B55314" w:rsidRDefault="00B55314" w:rsidP="00055A5F">
      <w:pPr>
        <w:keepNext/>
        <w:jc w:val="center"/>
      </w:pPr>
      <w:r w:rsidRPr="002F4214">
        <w:rPr>
          <w:noProof/>
          <w:lang w:val="en-GB" w:eastAsia="en-GB"/>
        </w:rPr>
        <w:drawing>
          <wp:inline distT="0" distB="0" distL="0" distR="0" wp14:anchorId="1AFA33EF" wp14:editId="0BA718B7">
            <wp:extent cx="3648075" cy="273605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0927" cy="2745695"/>
                    </a:xfrm>
                    <a:prstGeom prst="rect">
                      <a:avLst/>
                    </a:prstGeom>
                    <a:noFill/>
                    <a:ln>
                      <a:noFill/>
                    </a:ln>
                  </pic:spPr>
                </pic:pic>
              </a:graphicData>
            </a:graphic>
          </wp:inline>
        </w:drawing>
      </w:r>
    </w:p>
    <w:p w:rsidR="00B55314" w:rsidRDefault="00B55314" w:rsidP="00055A5F">
      <w:pPr>
        <w:pStyle w:val="Caption"/>
        <w:jc w:val="center"/>
      </w:pPr>
      <w:r>
        <w:t xml:space="preserve">Figure </w:t>
      </w:r>
      <w:fldSimple w:instr=" SEQ Figure \* ARABIC ">
        <w:r w:rsidR="006D5B24">
          <w:rPr>
            <w:noProof/>
          </w:rPr>
          <w:t>5</w:t>
        </w:r>
      </w:fldSimple>
      <w:r>
        <w:t xml:space="preserve"> O</w:t>
      </w:r>
      <w:r w:rsidR="00FE0F3A">
        <w:t xml:space="preserve">utput of </w:t>
      </w:r>
      <w:proofErr w:type="spellStart"/>
      <w:r w:rsidR="00FE0F3A">
        <w:t>upsampling</w:t>
      </w:r>
      <w:proofErr w:type="spellEnd"/>
      <w:r w:rsidR="00FE0F3A">
        <w:t xml:space="preserve"> and filtering.</w:t>
      </w:r>
    </w:p>
    <w:p w:rsidR="00FE0F3A" w:rsidRDefault="00FE0F3A" w:rsidP="00055A5F">
      <w:pPr>
        <w:keepNext/>
        <w:jc w:val="center"/>
      </w:pPr>
      <w:r w:rsidRPr="002F4214">
        <w:rPr>
          <w:noProof/>
          <w:lang w:val="en-GB" w:eastAsia="en-GB"/>
        </w:rPr>
        <w:lastRenderedPageBreak/>
        <w:drawing>
          <wp:inline distT="0" distB="0" distL="0" distR="0" wp14:anchorId="71AA28C1" wp14:editId="27EA736B">
            <wp:extent cx="4305300" cy="267641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320308" cy="2685748"/>
                    </a:xfrm>
                    <a:prstGeom prst="rect">
                      <a:avLst/>
                    </a:prstGeom>
                    <a:noFill/>
                    <a:ln>
                      <a:noFill/>
                    </a:ln>
                  </pic:spPr>
                </pic:pic>
              </a:graphicData>
            </a:graphic>
          </wp:inline>
        </w:drawing>
      </w:r>
    </w:p>
    <w:p w:rsidR="00B55314" w:rsidRDefault="00FE0F3A" w:rsidP="00055A5F">
      <w:pPr>
        <w:pStyle w:val="Caption"/>
        <w:jc w:val="center"/>
      </w:pPr>
      <w:r>
        <w:t xml:space="preserve">Figure </w:t>
      </w:r>
      <w:fldSimple w:instr=" SEQ Figure \* ARABIC ">
        <w:r w:rsidR="006D5B24">
          <w:rPr>
            <w:noProof/>
          </w:rPr>
          <w:t>6</w:t>
        </w:r>
      </w:fldSimple>
      <w:r>
        <w:t xml:space="preserve"> CP region of output of </w:t>
      </w:r>
      <w:proofErr w:type="spellStart"/>
      <w:r>
        <w:t>upsampling</w:t>
      </w:r>
      <w:proofErr w:type="spellEnd"/>
      <w:r>
        <w:t xml:space="preserve"> and filtering.</w:t>
      </w:r>
    </w:p>
    <w:p w:rsidR="008C16FB" w:rsidRPr="008C16FB" w:rsidRDefault="008C16FB" w:rsidP="008C16FB"/>
    <w:p w:rsidR="00B55314" w:rsidRDefault="00B55314" w:rsidP="00B55314">
      <w:r>
        <w:t xml:space="preserve">The small magnitude growth </w:t>
      </w:r>
      <w:r w:rsidR="00590F78">
        <w:t>enable</w:t>
      </w:r>
      <w:r>
        <w:t xml:space="preserve">s </w:t>
      </w:r>
      <w:r w:rsidR="002452D4">
        <w:t xml:space="preserve">the PAs to work at saturation when signal </w:t>
      </w:r>
      <w:r w:rsidR="00590F78">
        <w:t>magnitude</w:t>
      </w:r>
      <w:r w:rsidR="002452D4">
        <w:t xml:space="preserve"> reaches the mean signal </w:t>
      </w:r>
      <w:r w:rsidR="00590F78">
        <w:t>magnitude</w:t>
      </w:r>
      <w:r w:rsidR="002452D4">
        <w:t xml:space="preserve"> with negligible effect on the signal PSD. The signal at the output of a PA with saturation point set at mean amplitude is given</w:t>
      </w:r>
      <w:r w:rsidR="008C16FB">
        <w:t xml:space="preserve"> in Figure 6. Such a signal has </w:t>
      </w:r>
      <w:r w:rsidR="002452D4">
        <w:t xml:space="preserve">constant </w:t>
      </w:r>
      <w:r w:rsidR="008C16FB">
        <w:t>magnitude</w:t>
      </w:r>
      <w:r w:rsidR="002452D4">
        <w:t xml:space="preserve"> for the most of the time and smaller </w:t>
      </w:r>
      <w:r w:rsidR="008C16FB">
        <w:t>magnitude</w:t>
      </w:r>
      <w:r w:rsidR="002452D4">
        <w:t xml:space="preserve"> only at symbol boundaries.</w:t>
      </w:r>
      <w:r w:rsidR="00D76881">
        <w:t xml:space="preserve"> The known period of </w:t>
      </w:r>
      <w:r w:rsidR="008C16FB">
        <w:t>smaller magnitude</w:t>
      </w:r>
      <w:r w:rsidR="00D76881">
        <w:t xml:space="preserve"> is a des</w:t>
      </w:r>
      <w:r w:rsidR="008C16FB">
        <w:t>irable property for PA design:</w:t>
      </w:r>
      <w:r w:rsidR="00D76881">
        <w:t xml:space="preserve"> it </w:t>
      </w:r>
      <w:r w:rsidR="008C16FB">
        <w:t>simplifies</w:t>
      </w:r>
      <w:r w:rsidR="00727468">
        <w:t xml:space="preserve"> or completely remove</w:t>
      </w:r>
      <w:r w:rsidR="008C16FB">
        <w:t>s</w:t>
      </w:r>
      <w:r w:rsidR="00727468">
        <w:t xml:space="preserve"> the </w:t>
      </w:r>
      <w:r w:rsidR="00D76881">
        <w:t>envelop</w:t>
      </w:r>
      <w:r w:rsidR="008C16FB">
        <w:t>e</w:t>
      </w:r>
      <w:r w:rsidR="00D76881">
        <w:t xml:space="preserve"> </w:t>
      </w:r>
      <w:r w:rsidR="008C16FB">
        <w:t>detector/tracke</w:t>
      </w:r>
      <w:r w:rsidR="00727468">
        <w:t>r</w:t>
      </w:r>
      <w:r w:rsidR="00D76881">
        <w:t xml:space="preserve"> that is often required in the PAs for polar transmitters such as the ones for EDGE </w:t>
      </w:r>
      <w:r w:rsidR="00727468">
        <w:t>[4] and</w:t>
      </w:r>
      <w:r w:rsidR="00D76881">
        <w:t xml:space="preserve"> Doherty PAs.</w:t>
      </w:r>
    </w:p>
    <w:p w:rsidR="00055A5F" w:rsidRDefault="00055A5F" w:rsidP="00B55314"/>
    <w:p w:rsidR="00BB7C01" w:rsidRDefault="002452D4" w:rsidP="00055A5F">
      <w:pPr>
        <w:keepNext/>
        <w:jc w:val="center"/>
      </w:pPr>
      <w:r w:rsidRPr="002F4214">
        <w:rPr>
          <w:noProof/>
          <w:lang w:val="en-GB" w:eastAsia="en-GB"/>
        </w:rPr>
        <w:drawing>
          <wp:inline distT="0" distB="0" distL="0" distR="0" wp14:anchorId="0B65FFEF" wp14:editId="6318231A">
            <wp:extent cx="4257675" cy="215256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87461" cy="2167623"/>
                    </a:xfrm>
                    <a:prstGeom prst="rect">
                      <a:avLst/>
                    </a:prstGeom>
                    <a:noFill/>
                    <a:ln>
                      <a:noFill/>
                    </a:ln>
                  </pic:spPr>
                </pic:pic>
              </a:graphicData>
            </a:graphic>
          </wp:inline>
        </w:drawing>
      </w:r>
    </w:p>
    <w:p w:rsidR="002452D4" w:rsidRDefault="00BB7C01" w:rsidP="00055A5F">
      <w:pPr>
        <w:pStyle w:val="Caption"/>
        <w:jc w:val="center"/>
      </w:pPr>
      <w:r>
        <w:t xml:space="preserve">Figure </w:t>
      </w:r>
      <w:fldSimple w:instr=" SEQ Figure \* ARABIC ">
        <w:r w:rsidR="006D5B24">
          <w:rPr>
            <w:noProof/>
          </w:rPr>
          <w:t>7</w:t>
        </w:r>
      </w:fldSimple>
      <w:r>
        <w:t xml:space="preserve"> Signal after PA saturation.</w:t>
      </w:r>
    </w:p>
    <w:p w:rsidR="00BB7C01" w:rsidRDefault="00BB7C01" w:rsidP="00BB7C01"/>
    <w:p w:rsidR="00BB7C01" w:rsidRDefault="00727468" w:rsidP="00BB7C01">
      <w:pPr>
        <w:pStyle w:val="Heading1"/>
      </w:pPr>
      <w:r>
        <w:t>Power Spectral Density</w:t>
      </w:r>
    </w:p>
    <w:p w:rsidR="002452D4" w:rsidRPr="00055A5F" w:rsidRDefault="00BB7C01" w:rsidP="00B55314">
      <w:pPr>
        <w:rPr>
          <w:lang w:val="en-GB" w:eastAsia="en-US"/>
        </w:rPr>
      </w:pPr>
      <w:r>
        <w:rPr>
          <w:lang w:val="en-GB" w:eastAsia="en-US"/>
        </w:rPr>
        <w:t>Assuming the leftmost tones allocated</w:t>
      </w:r>
      <w:r w:rsidR="00D904BC">
        <w:rPr>
          <w:lang w:val="en-GB" w:eastAsia="en-US"/>
        </w:rPr>
        <w:t xml:space="preserve"> without hopping</w:t>
      </w:r>
      <w:r>
        <w:rPr>
          <w:lang w:val="en-GB" w:eastAsia="en-US"/>
        </w:rPr>
        <w:t>, the power spectral densities of (4</w:t>
      </w:r>
      <w:proofErr w:type="gramStart"/>
      <w:r>
        <w:rPr>
          <w:lang w:val="en-GB" w:eastAsia="en-US"/>
        </w:rPr>
        <w:t>,4</w:t>
      </w:r>
      <w:proofErr w:type="gramEnd"/>
      <w:r>
        <w:rPr>
          <w:lang w:val="en-GB" w:eastAsia="en-US"/>
        </w:rPr>
        <w:t>)-TPSK and (8,8)-TPSK signals are shown in Figures 8 and 9 respectively. In both cases, the PSD of filtered signal and the PSD of saturated signal match quite well</w:t>
      </w:r>
      <w:r w:rsidR="00D904BC">
        <w:rPr>
          <w:lang w:val="en-GB" w:eastAsia="en-US"/>
        </w:rPr>
        <w:t>, indicating that PA saturation</w:t>
      </w:r>
      <w:r w:rsidR="00AB46E7">
        <w:rPr>
          <w:lang w:val="en-GB" w:eastAsia="en-US"/>
        </w:rPr>
        <w:t xml:space="preserve"> has</w:t>
      </w:r>
      <w:r w:rsidR="00D904BC">
        <w:rPr>
          <w:lang w:val="en-GB" w:eastAsia="en-US"/>
        </w:rPr>
        <w:t xml:space="preserve"> negligible</w:t>
      </w:r>
      <w:r w:rsidR="00AB46E7">
        <w:rPr>
          <w:lang w:val="en-GB" w:eastAsia="en-US"/>
        </w:rPr>
        <w:t xml:space="preserve"> </w:t>
      </w:r>
      <w:r w:rsidR="00AB46E7">
        <w:rPr>
          <w:lang w:val="en-GB" w:eastAsia="en-US"/>
        </w:rPr>
        <w:lastRenderedPageBreak/>
        <w:t>effects on signal PSD</w:t>
      </w:r>
      <w:r w:rsidR="00D904BC">
        <w:rPr>
          <w:lang w:val="en-GB" w:eastAsia="en-US"/>
        </w:rPr>
        <w:t>. With filtering and PA saturation, both (4</w:t>
      </w:r>
      <w:proofErr w:type="gramStart"/>
      <w:r w:rsidR="00D904BC">
        <w:rPr>
          <w:lang w:val="en-GB" w:eastAsia="en-US"/>
        </w:rPr>
        <w:t>,4</w:t>
      </w:r>
      <w:proofErr w:type="gramEnd"/>
      <w:r w:rsidR="00D904BC">
        <w:rPr>
          <w:lang w:val="en-GB" w:eastAsia="en-US"/>
        </w:rPr>
        <w:t xml:space="preserve">)-TPSK and (8,8)-TPSK meet the out-of-band mask of GSM at 33 </w:t>
      </w:r>
      <w:proofErr w:type="spellStart"/>
      <w:r w:rsidR="00D904BC">
        <w:rPr>
          <w:lang w:val="en-GB" w:eastAsia="en-US"/>
        </w:rPr>
        <w:t>dBm</w:t>
      </w:r>
      <w:proofErr w:type="spellEnd"/>
      <w:r w:rsidR="00D904BC">
        <w:rPr>
          <w:lang w:val="en-GB" w:eastAsia="en-US"/>
        </w:rPr>
        <w:t xml:space="preserve"> transmit power</w:t>
      </w:r>
      <w:r w:rsidR="00AB46E7">
        <w:rPr>
          <w:lang w:val="en-GB" w:eastAsia="en-US"/>
        </w:rPr>
        <w:t xml:space="preserve"> with comfortable margins.</w:t>
      </w:r>
    </w:p>
    <w:p w:rsidR="002452D4" w:rsidRPr="00B55314" w:rsidRDefault="002452D4" w:rsidP="00B55314"/>
    <w:p w:rsidR="00727468" w:rsidRDefault="00727468" w:rsidP="00055A5F">
      <w:pPr>
        <w:keepNext/>
        <w:jc w:val="center"/>
      </w:pPr>
      <w:r w:rsidRPr="009F2DFF">
        <w:rPr>
          <w:noProof/>
          <w:lang w:val="en-GB" w:eastAsia="en-GB"/>
        </w:rPr>
        <w:drawing>
          <wp:inline distT="0" distB="0" distL="0" distR="0" wp14:anchorId="05F6A481" wp14:editId="621191B3">
            <wp:extent cx="3971925" cy="29789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75293" cy="2981470"/>
                    </a:xfrm>
                    <a:prstGeom prst="rect">
                      <a:avLst/>
                    </a:prstGeom>
                    <a:noFill/>
                    <a:ln>
                      <a:noFill/>
                    </a:ln>
                  </pic:spPr>
                </pic:pic>
              </a:graphicData>
            </a:graphic>
          </wp:inline>
        </w:drawing>
      </w:r>
    </w:p>
    <w:p w:rsidR="00B55314" w:rsidRDefault="00727468" w:rsidP="00055A5F">
      <w:pPr>
        <w:pStyle w:val="Caption"/>
        <w:jc w:val="center"/>
      </w:pPr>
      <w:r>
        <w:t xml:space="preserve">Figure </w:t>
      </w:r>
      <w:fldSimple w:instr=" SEQ Figure \* ARABIC ">
        <w:r w:rsidR="006D5B24">
          <w:rPr>
            <w:noProof/>
          </w:rPr>
          <w:t>8</w:t>
        </w:r>
      </w:fldSimple>
      <w:r>
        <w:t xml:space="preserve"> PSD of (4</w:t>
      </w:r>
      <w:proofErr w:type="gramStart"/>
      <w:r>
        <w:t>,4</w:t>
      </w:r>
      <w:proofErr w:type="gramEnd"/>
      <w:r>
        <w:t>)-TPSK.</w:t>
      </w:r>
    </w:p>
    <w:p w:rsidR="00727468" w:rsidRDefault="00727468" w:rsidP="00727468"/>
    <w:p w:rsidR="00727468" w:rsidRPr="00727468" w:rsidRDefault="00727468" w:rsidP="00727468"/>
    <w:p w:rsidR="00727468" w:rsidRDefault="00727468" w:rsidP="00055A5F">
      <w:pPr>
        <w:keepNext/>
        <w:jc w:val="center"/>
      </w:pPr>
      <w:r w:rsidRPr="009F2DFF">
        <w:rPr>
          <w:noProof/>
          <w:lang w:val="en-GB" w:eastAsia="en-GB"/>
        </w:rPr>
        <w:drawing>
          <wp:inline distT="0" distB="0" distL="0" distR="0" wp14:anchorId="358A06E1" wp14:editId="0B36C726">
            <wp:extent cx="4038599" cy="302895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41797" cy="3031348"/>
                    </a:xfrm>
                    <a:prstGeom prst="rect">
                      <a:avLst/>
                    </a:prstGeom>
                    <a:noFill/>
                    <a:ln>
                      <a:noFill/>
                    </a:ln>
                  </pic:spPr>
                </pic:pic>
              </a:graphicData>
            </a:graphic>
          </wp:inline>
        </w:drawing>
      </w:r>
    </w:p>
    <w:p w:rsidR="00B55314" w:rsidRDefault="00727468" w:rsidP="00055A5F">
      <w:pPr>
        <w:pStyle w:val="Caption"/>
        <w:jc w:val="center"/>
      </w:pPr>
      <w:r>
        <w:t xml:space="preserve">Figure </w:t>
      </w:r>
      <w:fldSimple w:instr=" SEQ Figure \* ARABIC ">
        <w:r w:rsidR="006D5B24">
          <w:rPr>
            <w:noProof/>
          </w:rPr>
          <w:t>9</w:t>
        </w:r>
      </w:fldSimple>
      <w:r>
        <w:t xml:space="preserve"> PSD of (8</w:t>
      </w:r>
      <w:proofErr w:type="gramStart"/>
      <w:r>
        <w:t>,8</w:t>
      </w:r>
      <w:proofErr w:type="gramEnd"/>
      <w:r>
        <w:t>)-TPSK.</w:t>
      </w:r>
    </w:p>
    <w:p w:rsidR="00055A5F" w:rsidRPr="00055A5F" w:rsidRDefault="00055A5F" w:rsidP="00055A5F"/>
    <w:p w:rsidR="00B55314" w:rsidRDefault="00727468" w:rsidP="00727468">
      <w:pPr>
        <w:pStyle w:val="Heading1"/>
      </w:pPr>
      <w:r>
        <w:lastRenderedPageBreak/>
        <w:t>Leakage</w:t>
      </w:r>
    </w:p>
    <w:p w:rsidR="00546DE1" w:rsidRDefault="00546DE1" w:rsidP="00055A5F">
      <w:pPr>
        <w:spacing w:after="120"/>
      </w:pPr>
      <w:r>
        <w:t>Transmit filtering reduces receive timing margin since FFT window at the receiver need</w:t>
      </w:r>
      <w:r w:rsidR="008C16FB">
        <w:t>s</w:t>
      </w:r>
      <w:r>
        <w:t xml:space="preserve"> to cover channel delay spreads including transmit filtering and uplink timing errors. In addition, PA saturation can disrupt orthogonality between subcarriers although its effect is expected to be small due to relatively small change in signals.</w:t>
      </w:r>
    </w:p>
    <w:p w:rsidR="00C954E2" w:rsidRDefault="00546DE1" w:rsidP="00860C0C">
      <w:r>
        <w:t xml:space="preserve">Adjacent channel interference due to </w:t>
      </w:r>
      <w:r w:rsidR="008C16FB">
        <w:t>different window timing</w:t>
      </w:r>
      <w:r>
        <w:t xml:space="preserve"> and PA saturation can be measured by tone leakage, i.e., the power </w:t>
      </w:r>
      <w:r w:rsidR="00C954E2">
        <w:t>seen</w:t>
      </w:r>
      <w:r>
        <w:t xml:space="preserve"> at other tones relative to the power in allocated tones</w:t>
      </w:r>
      <w:r w:rsidR="008C16FB">
        <w:t xml:space="preserve"> at the receiver</w:t>
      </w:r>
      <w:r>
        <w:t xml:space="preserve">. </w:t>
      </w:r>
      <w:r w:rsidR="00C954E2">
        <w:t>In Figure 10, the powers at the receiver FFT outputs of saturated (8</w:t>
      </w:r>
      <w:proofErr w:type="gramStart"/>
      <w:r w:rsidR="00C954E2">
        <w:t>,8</w:t>
      </w:r>
      <w:proofErr w:type="gramEnd"/>
      <w:r w:rsidR="00C954E2">
        <w:t>)-TPSK signal are provided with different FFT window timing</w:t>
      </w:r>
      <w:r w:rsidR="008C16FB">
        <w:t>s</w:t>
      </w:r>
      <w:r w:rsidR="00C954E2">
        <w:t xml:space="preserve"> relative to the timing of the first data sample</w:t>
      </w:r>
      <w:r>
        <w:t>.</w:t>
      </w:r>
      <w:r w:rsidR="00C954E2">
        <w:t xml:space="preserve"> From figure 3, the delay spread of the transmit filter is e</w:t>
      </w:r>
      <w:r w:rsidR="008452A9">
        <w:t xml:space="preserve">xpected to be about 3, which is confirmed in Figure 10. With CP length 8, the leakage is less than -60 dB when the FFT window starts 5 samples earlier. Reducing the FFT window advance to 4 samples, the leakage is reduced by more than 10 </w:t>
      </w:r>
      <w:proofErr w:type="spellStart"/>
      <w:r w:rsidR="008452A9">
        <w:t>dB.</w:t>
      </w:r>
      <w:proofErr w:type="spellEnd"/>
      <w:r w:rsidR="008452A9">
        <w:t xml:space="preserve"> As expected, a </w:t>
      </w:r>
      <w:r w:rsidR="006D5B24">
        <w:t>delay in</w:t>
      </w:r>
      <w:r w:rsidR="008452A9">
        <w:t xml:space="preserve"> FFT window will have </w:t>
      </w:r>
      <w:r w:rsidR="006D5B24">
        <w:t xml:space="preserve">more </w:t>
      </w:r>
      <w:r w:rsidR="008452A9">
        <w:t>significant impact: the maximal leakage become</w:t>
      </w:r>
      <w:r w:rsidR="006D5B24">
        <w:t>s</w:t>
      </w:r>
      <w:r w:rsidR="008452A9">
        <w:t xml:space="preserve"> </w:t>
      </w:r>
      <w:r w:rsidR="007B06B7">
        <w:t xml:space="preserve">about </w:t>
      </w:r>
      <w:r w:rsidR="0089364D">
        <w:t>-4</w:t>
      </w:r>
      <w:r w:rsidR="008452A9">
        <w:t>0 dB</w:t>
      </w:r>
      <w:r w:rsidR="006D5B24">
        <w:t xml:space="preserve"> if the FFT window is delayed by 1 sample</w:t>
      </w:r>
      <w:r w:rsidR="008452A9">
        <w:t>. If leaka</w:t>
      </w:r>
      <w:r w:rsidR="0089364D">
        <w:t>ge is to be controlled within -4</w:t>
      </w:r>
      <w:r w:rsidR="008452A9">
        <w:t xml:space="preserve">0 </w:t>
      </w:r>
      <w:proofErr w:type="spellStart"/>
      <w:r w:rsidR="008452A9">
        <w:t>db</w:t>
      </w:r>
      <w:proofErr w:type="spellEnd"/>
      <w:r w:rsidR="008452A9">
        <w:t xml:space="preserve"> and smaller, the timing margin remains for uplink timing error and channel delay s</w:t>
      </w:r>
      <w:r w:rsidR="0089364D">
        <w:t>pread is 6</w:t>
      </w:r>
      <w:r w:rsidR="008452A9">
        <w:t xml:space="preserve"> samples (</w:t>
      </w:r>
      <w:r w:rsidR="0089364D">
        <w:t>18.75</w:t>
      </w:r>
      <w:r w:rsidR="008452A9">
        <w:t xml:space="preserve"> </w:t>
      </w:r>
      <w:r w:rsidR="008452A9" w:rsidRPr="008452A9">
        <w:rPr>
          <w:rFonts w:ascii="Symbol" w:hAnsi="Symbol"/>
        </w:rPr>
        <w:t></w:t>
      </w:r>
      <w:r w:rsidR="006D5B24">
        <w:t xml:space="preserve">s at sampling rate 320 kHz), which is sufficient for the channels of concern. It is also apparent that PA saturation has </w:t>
      </w:r>
      <w:r w:rsidR="008C16FB">
        <w:t>negligible</w:t>
      </w:r>
      <w:r w:rsidR="006D5B24">
        <w:t xml:space="preserve"> impact on signal orthogonality.</w:t>
      </w:r>
    </w:p>
    <w:p w:rsidR="006D5B24" w:rsidRDefault="00EF3C9A" w:rsidP="00055A5F">
      <w:pPr>
        <w:jc w:val="center"/>
      </w:pPr>
      <w:r w:rsidRPr="00EF3C9A">
        <w:rPr>
          <w:noProof/>
          <w:lang w:val="en-GB" w:eastAsia="en-GB"/>
        </w:rPr>
        <w:drawing>
          <wp:inline distT="0" distB="0" distL="0" distR="0">
            <wp:extent cx="4292599" cy="32194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1610" cy="3226208"/>
                    </a:xfrm>
                    <a:prstGeom prst="rect">
                      <a:avLst/>
                    </a:prstGeom>
                    <a:noFill/>
                    <a:ln>
                      <a:noFill/>
                    </a:ln>
                  </pic:spPr>
                </pic:pic>
              </a:graphicData>
            </a:graphic>
          </wp:inline>
        </w:drawing>
      </w:r>
    </w:p>
    <w:p w:rsidR="006D5B24" w:rsidRDefault="006D5B24" w:rsidP="00055A5F">
      <w:pPr>
        <w:pStyle w:val="Caption"/>
        <w:jc w:val="center"/>
      </w:pPr>
      <w:r>
        <w:t xml:space="preserve">Figure </w:t>
      </w:r>
      <w:r w:rsidR="007D2BDD">
        <w:fldChar w:fldCharType="begin"/>
      </w:r>
      <w:r w:rsidR="007D2BDD">
        <w:instrText xml:space="preserve"> SEQ Figure \* ARABIC </w:instrText>
      </w:r>
      <w:r w:rsidR="007D2BDD">
        <w:fldChar w:fldCharType="separate"/>
      </w:r>
      <w:r>
        <w:rPr>
          <w:noProof/>
        </w:rPr>
        <w:t>10</w:t>
      </w:r>
      <w:r w:rsidR="007D2BDD">
        <w:rPr>
          <w:noProof/>
        </w:rPr>
        <w:fldChar w:fldCharType="end"/>
      </w:r>
      <w:r>
        <w:t xml:space="preserve"> Tone leakage due to FFT window timing and PA saturation.</w:t>
      </w:r>
    </w:p>
    <w:p w:rsidR="00860C0C" w:rsidRPr="00030FF3" w:rsidRDefault="00860C0C" w:rsidP="00EF3C9A">
      <w:pPr>
        <w:pStyle w:val="Caption"/>
      </w:pPr>
    </w:p>
    <w:p w:rsidR="00860C0C" w:rsidRPr="00860C0C" w:rsidRDefault="00860C0C" w:rsidP="00860C0C">
      <w:pPr>
        <w:pStyle w:val="Heading1"/>
      </w:pPr>
      <w:r w:rsidRPr="00860C0C">
        <w:t>Summary</w:t>
      </w:r>
    </w:p>
    <w:p w:rsidR="00860C0C" w:rsidRPr="00D50503" w:rsidRDefault="007B06B7" w:rsidP="00860C0C">
      <w:pPr>
        <w:rPr>
          <w:lang w:val="en-GB" w:eastAsia="en-US"/>
        </w:rPr>
      </w:pPr>
      <w:r>
        <w:rPr>
          <w:lang w:val="en-GB" w:eastAsia="en-US"/>
        </w:rPr>
        <w:t xml:space="preserve">An example transmit scheme is demonstrated for controlling PSD and PAPR of TPSK signals. It is shown that with </w:t>
      </w:r>
      <w:r w:rsidR="008C16FB">
        <w:rPr>
          <w:lang w:val="en-GB" w:eastAsia="en-US"/>
        </w:rPr>
        <w:t xml:space="preserve">simple windowing and filtering </w:t>
      </w:r>
      <w:r>
        <w:rPr>
          <w:lang w:val="en-GB" w:eastAsia="en-US"/>
        </w:rPr>
        <w:t xml:space="preserve">TPSK signals can meet GSM out-of-band PSD </w:t>
      </w:r>
      <w:r>
        <w:rPr>
          <w:lang w:val="en-GB" w:eastAsia="en-US"/>
        </w:rPr>
        <w:lastRenderedPageBreak/>
        <w:t xml:space="preserve">mask at 33 </w:t>
      </w:r>
      <w:proofErr w:type="spellStart"/>
      <w:r>
        <w:rPr>
          <w:lang w:val="en-GB" w:eastAsia="en-US"/>
        </w:rPr>
        <w:t>dBm</w:t>
      </w:r>
      <w:proofErr w:type="spellEnd"/>
      <w:r>
        <w:rPr>
          <w:lang w:val="en-GB" w:eastAsia="en-US"/>
        </w:rPr>
        <w:t xml:space="preserve"> transmit power and</w:t>
      </w:r>
      <w:r w:rsidR="008C16FB">
        <w:rPr>
          <w:lang w:val="en-GB" w:eastAsia="en-US"/>
        </w:rPr>
        <w:t xml:space="preserve"> still </w:t>
      </w:r>
      <w:r>
        <w:rPr>
          <w:lang w:val="en-GB" w:eastAsia="en-US"/>
        </w:rPr>
        <w:t xml:space="preserve">maintain essentially 0 dB PAPR.  Furthermore, it is shown that the proposed CP length of 8 samples for NB-OFDMA is sufficient to accommodate the required transmit filtering and expected channel delay spreads.    </w:t>
      </w:r>
    </w:p>
    <w:p w:rsidR="00860C0C" w:rsidRPr="00860C0C" w:rsidRDefault="00860C0C" w:rsidP="00860C0C">
      <w:pPr>
        <w:pStyle w:val="Heading1"/>
      </w:pPr>
      <w:r w:rsidRPr="00860C0C">
        <w:t>References</w:t>
      </w:r>
      <w:bookmarkStart w:id="0" w:name="_Ref400380424"/>
      <w:bookmarkStart w:id="1" w:name="_Ref222280625"/>
      <w:bookmarkStart w:id="2" w:name="_Ref211321859"/>
      <w:bookmarkStart w:id="3" w:name="_Ref220829353"/>
    </w:p>
    <w:p w:rsidR="0087427D" w:rsidRPr="00F84EEA" w:rsidRDefault="0087427D" w:rsidP="00F84EEA">
      <w:pPr>
        <w:pStyle w:val="ListParagraph"/>
        <w:numPr>
          <w:ilvl w:val="0"/>
          <w:numId w:val="21"/>
        </w:numPr>
        <w:overflowPunct w:val="0"/>
        <w:autoSpaceDE w:val="0"/>
        <w:autoSpaceDN w:val="0"/>
        <w:adjustRightInd w:val="0"/>
        <w:spacing w:after="120"/>
        <w:textAlignment w:val="baseline"/>
        <w:rPr>
          <w:sz w:val="21"/>
          <w:szCs w:val="21"/>
        </w:rPr>
      </w:pPr>
      <w:r w:rsidRPr="00F84EEA">
        <w:rPr>
          <w:rFonts w:ascii="Times New Roman" w:eastAsia="SimSun" w:hAnsi="Times New Roman"/>
          <w:sz w:val="21"/>
          <w:szCs w:val="21"/>
          <w:lang w:eastAsia="zh-CN"/>
        </w:rPr>
        <w:t>GP-140842, Narrow band OFDMA- Tone-Phase-Shift Keying Modulation, Qualcomm Incorporated, GERAN #64, San Francisco, USA, November 2014.</w:t>
      </w:r>
    </w:p>
    <w:bookmarkEnd w:id="0"/>
    <w:bookmarkEnd w:id="1"/>
    <w:p w:rsidR="00860C0C" w:rsidRPr="00F84EEA" w:rsidRDefault="00860C0C" w:rsidP="00F84EEA">
      <w:pPr>
        <w:widowControl/>
        <w:numPr>
          <w:ilvl w:val="0"/>
          <w:numId w:val="21"/>
        </w:numPr>
        <w:overflowPunct w:val="0"/>
        <w:autoSpaceDE w:val="0"/>
        <w:autoSpaceDN w:val="0"/>
        <w:adjustRightInd w:val="0"/>
        <w:spacing w:after="120"/>
        <w:jc w:val="left"/>
        <w:textAlignment w:val="baseline"/>
        <w:rPr>
          <w:kern w:val="0"/>
          <w:szCs w:val="21"/>
        </w:rPr>
      </w:pPr>
      <w:r w:rsidRPr="00F84EEA">
        <w:rPr>
          <w:szCs w:val="21"/>
        </w:rPr>
        <w:t xml:space="preserve">GP-140839, Narrow Band OFDMA based proposal for GERAN Cellular </w:t>
      </w:r>
      <w:proofErr w:type="spellStart"/>
      <w:r w:rsidRPr="00F84EEA">
        <w:rPr>
          <w:szCs w:val="21"/>
        </w:rPr>
        <w:t>IoT</w:t>
      </w:r>
      <w:proofErr w:type="spellEnd"/>
      <w:r w:rsidRPr="00F84EEA">
        <w:rPr>
          <w:szCs w:val="21"/>
        </w:rPr>
        <w:t>, Qualcomm Incorporated,</w:t>
      </w:r>
      <w:r w:rsidR="0087427D" w:rsidRPr="00F84EEA">
        <w:rPr>
          <w:szCs w:val="21"/>
        </w:rPr>
        <w:t xml:space="preserve"> GERAN #64, San Francisco, USA,</w:t>
      </w:r>
      <w:r w:rsidR="00196760">
        <w:rPr>
          <w:szCs w:val="21"/>
        </w:rPr>
        <w:t xml:space="preserve"> </w:t>
      </w:r>
      <w:proofErr w:type="gramStart"/>
      <w:r w:rsidRPr="00F84EEA">
        <w:rPr>
          <w:szCs w:val="21"/>
        </w:rPr>
        <w:t>November</w:t>
      </w:r>
      <w:proofErr w:type="gramEnd"/>
      <w:r w:rsidRPr="00F84EEA">
        <w:rPr>
          <w:szCs w:val="21"/>
        </w:rPr>
        <w:t xml:space="preserve"> 2014.</w:t>
      </w:r>
    </w:p>
    <w:p w:rsidR="000A33CA" w:rsidRPr="00F84EEA" w:rsidRDefault="0087427D" w:rsidP="00F84EEA">
      <w:pPr>
        <w:widowControl/>
        <w:numPr>
          <w:ilvl w:val="0"/>
          <w:numId w:val="21"/>
        </w:numPr>
        <w:overflowPunct w:val="0"/>
        <w:autoSpaceDE w:val="0"/>
        <w:autoSpaceDN w:val="0"/>
        <w:adjustRightInd w:val="0"/>
        <w:spacing w:after="120"/>
        <w:textAlignment w:val="baseline"/>
        <w:rPr>
          <w:szCs w:val="21"/>
        </w:rPr>
      </w:pPr>
      <w:r w:rsidRPr="00F84EEA">
        <w:rPr>
          <w:szCs w:val="21"/>
        </w:rPr>
        <w:t xml:space="preserve">ETSI TS 145 005 </w:t>
      </w:r>
      <w:proofErr w:type="gramStart"/>
      <w:r w:rsidRPr="00F84EEA">
        <w:rPr>
          <w:szCs w:val="21"/>
        </w:rPr>
        <w:t>V4.3.0</w:t>
      </w:r>
      <w:r w:rsidR="003F0B36" w:rsidRPr="00F84EEA">
        <w:rPr>
          <w:szCs w:val="21"/>
        </w:rPr>
        <w:t>.</w:t>
      </w:r>
      <w:r w:rsidR="00F669A4" w:rsidRPr="00F84EEA">
        <w:rPr>
          <w:szCs w:val="21"/>
        </w:rPr>
        <w:t>,</w:t>
      </w:r>
      <w:proofErr w:type="gramEnd"/>
      <w:r w:rsidR="00F669A4" w:rsidRPr="00F84EEA">
        <w:rPr>
          <w:szCs w:val="21"/>
        </w:rPr>
        <w:t xml:space="preserve"> </w:t>
      </w:r>
      <w:r w:rsidR="003F0B36" w:rsidRPr="00F84EEA">
        <w:rPr>
          <w:szCs w:val="21"/>
        </w:rPr>
        <w:t>2001.</w:t>
      </w:r>
    </w:p>
    <w:bookmarkEnd w:id="2"/>
    <w:bookmarkEnd w:id="3"/>
    <w:p w:rsidR="000905B4" w:rsidRPr="00F84EEA" w:rsidRDefault="00727468" w:rsidP="00F84EEA">
      <w:pPr>
        <w:widowControl/>
        <w:numPr>
          <w:ilvl w:val="0"/>
          <w:numId w:val="21"/>
        </w:numPr>
        <w:overflowPunct w:val="0"/>
        <w:autoSpaceDE w:val="0"/>
        <w:autoSpaceDN w:val="0"/>
        <w:adjustRightInd w:val="0"/>
        <w:spacing w:after="120"/>
        <w:textAlignment w:val="baseline"/>
        <w:rPr>
          <w:szCs w:val="21"/>
        </w:rPr>
      </w:pPr>
      <w:r w:rsidRPr="00F84EEA">
        <w:rPr>
          <w:rStyle w:val="StyleLatinBodyCalibri11pt"/>
          <w:rFonts w:ascii="Times New Roman" w:hAnsi="Times New Roman" w:cs="Times New Roman"/>
          <w:sz w:val="21"/>
          <w:szCs w:val="21"/>
        </w:rPr>
        <w:t xml:space="preserve">Michael R. Elliott, et al., “A Polar Modulator Transmitter for GSM/EDGE,” pp 2190-2199, </w:t>
      </w:r>
      <w:r w:rsidRPr="00F84EEA">
        <w:rPr>
          <w:szCs w:val="21"/>
        </w:rPr>
        <w:t>IEEE JOURNAL OF SOLID-STATE CIRCUITS, VOL. 39, NO. 12, DECEMBER 2004.</w:t>
      </w:r>
      <w:bookmarkStart w:id="4" w:name="_GoBack"/>
      <w:bookmarkEnd w:id="4"/>
    </w:p>
    <w:sectPr w:rsidR="000905B4" w:rsidRPr="00F84EEA">
      <w:headerReference w:type="default" r:id="rId20"/>
      <w:foot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2BDD" w:rsidRDefault="007D2BDD">
      <w:r>
        <w:separator/>
      </w:r>
    </w:p>
  </w:endnote>
  <w:endnote w:type="continuationSeparator" w:id="0">
    <w:p w:rsidR="007D2BDD" w:rsidRDefault="007D2B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C28" w:rsidRDefault="00C91C28" w:rsidP="00C91C28">
    <w:pPr>
      <w:pStyle w:val="Footer"/>
      <w:jc w:val="center"/>
    </w:pPr>
    <w:r>
      <w:t xml:space="preserve">Page </w:t>
    </w:r>
    <w:r>
      <w:rPr>
        <w:rStyle w:val="PageNumber"/>
      </w:rPr>
      <w:fldChar w:fldCharType="begin"/>
    </w:r>
    <w:r>
      <w:rPr>
        <w:rStyle w:val="PageNumber"/>
      </w:rPr>
      <w:instrText xml:space="preserve"> PAGE </w:instrText>
    </w:r>
    <w:r>
      <w:rPr>
        <w:rStyle w:val="PageNumber"/>
      </w:rPr>
      <w:fldChar w:fldCharType="separate"/>
    </w:r>
    <w:r w:rsidR="00196760">
      <w:rPr>
        <w:rStyle w:val="PageNumber"/>
        <w:noProof/>
      </w:rPr>
      <w:t>7</w:t>
    </w:r>
    <w:r>
      <w:rPr>
        <w:rStyle w:val="PageNumber"/>
      </w:rPr>
      <w:fldChar w:fldCharType="end"/>
    </w:r>
    <w:r>
      <w:rPr>
        <w:rStyle w:val="PageNumber"/>
      </w:rPr>
      <w:t xml:space="preserve"> </w:t>
    </w:r>
    <w:r>
      <w:t xml:space="preserve">of </w:t>
    </w:r>
    <w:r>
      <w:rPr>
        <w:rStyle w:val="PageNumber"/>
      </w:rPr>
      <w:fldChar w:fldCharType="begin"/>
    </w:r>
    <w:r>
      <w:rPr>
        <w:rStyle w:val="PageNumber"/>
      </w:rPr>
      <w:instrText xml:space="preserve"> NUMPAGES </w:instrText>
    </w:r>
    <w:r>
      <w:rPr>
        <w:rStyle w:val="PageNumber"/>
      </w:rPr>
      <w:fldChar w:fldCharType="separate"/>
    </w:r>
    <w:r w:rsidR="00196760">
      <w:rPr>
        <w:rStyle w:val="PageNumber"/>
        <w:noProof/>
      </w:rPr>
      <w:t>7</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2BDD" w:rsidRDefault="007D2BDD">
      <w:r>
        <w:separator/>
      </w:r>
    </w:p>
  </w:footnote>
  <w:footnote w:type="continuationSeparator" w:id="0">
    <w:p w:rsidR="007D2BDD" w:rsidRDefault="007D2B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54BB" w:rsidRDefault="005154BB" w:rsidP="005154BB">
    <w:pPr>
      <w:pStyle w:val="WP"/>
      <w:tabs>
        <w:tab w:val="right" w:pos="8280"/>
        <w:tab w:val="right" w:pos="10260"/>
      </w:tabs>
      <w:rPr>
        <w:rFonts w:ascii="Times New Roman" w:hAnsi="Times New Roman" w:cs="Times New Roman"/>
        <w:bCs/>
      </w:rPr>
    </w:pPr>
    <w:r>
      <w:rPr>
        <w:rFonts w:ascii="Times New Roman" w:hAnsi="Times New Roman" w:cs="Times New Roman"/>
        <w:bCs/>
      </w:rPr>
      <w:t>3</w:t>
    </w:r>
    <w:r w:rsidR="00255A7E">
      <w:rPr>
        <w:rFonts w:ascii="Times New Roman" w:hAnsi="Times New Roman" w:cs="Times New Roman"/>
        <w:bCs/>
      </w:rPr>
      <w:t>GPP TSG GERAN #65</w:t>
    </w:r>
    <w:r>
      <w:rPr>
        <w:rFonts w:ascii="Times New Roman" w:hAnsi="Times New Roman" w:cs="Times New Roman"/>
        <w:bCs/>
      </w:rPr>
      <w:tab/>
    </w:r>
    <w:proofErr w:type="spellStart"/>
    <w:r w:rsidR="00255A7E" w:rsidRPr="008416B1">
      <w:rPr>
        <w:rFonts w:ascii="Times New Roman" w:hAnsi="Times New Roman" w:cs="Times New Roman"/>
        <w:bCs/>
      </w:rPr>
      <w:t>Tdoc</w:t>
    </w:r>
    <w:proofErr w:type="spellEnd"/>
    <w:r w:rsidR="00255A7E" w:rsidRPr="008416B1">
      <w:rPr>
        <w:rFonts w:ascii="Times New Roman" w:hAnsi="Times New Roman" w:cs="Times New Roman"/>
        <w:bCs/>
      </w:rPr>
      <w:t xml:space="preserve"> GP-</w:t>
    </w:r>
    <w:r w:rsidRPr="008416B1">
      <w:rPr>
        <w:rFonts w:ascii="Times New Roman" w:hAnsi="Times New Roman" w:cs="Times New Roman"/>
        <w:bCs/>
      </w:rPr>
      <w:t>15</w:t>
    </w:r>
    <w:r w:rsidR="00255A7E" w:rsidRPr="008416B1">
      <w:rPr>
        <w:rFonts w:ascii="Times New Roman" w:hAnsi="Times New Roman" w:cs="Times New Roman"/>
        <w:bCs/>
      </w:rPr>
      <w:t>0</w:t>
    </w:r>
    <w:r w:rsidR="008416B1" w:rsidRPr="008416B1">
      <w:rPr>
        <w:rFonts w:ascii="Times New Roman" w:hAnsi="Times New Roman" w:cs="Times New Roman"/>
        <w:bCs/>
      </w:rPr>
      <w:t>116</w:t>
    </w:r>
  </w:p>
  <w:p w:rsidR="005154BB" w:rsidRDefault="00255A7E" w:rsidP="005154BB">
    <w:pPr>
      <w:pStyle w:val="WP"/>
      <w:tabs>
        <w:tab w:val="right" w:pos="10260"/>
      </w:tabs>
      <w:rPr>
        <w:rFonts w:ascii="Times New Roman" w:eastAsia="SimSun" w:hAnsi="Times New Roman" w:cs="Times New Roman"/>
        <w:bCs/>
        <w:lang w:eastAsia="zh-CN"/>
      </w:rPr>
    </w:pPr>
    <w:r>
      <w:rPr>
        <w:rFonts w:ascii="Times New Roman" w:eastAsia="SimSun" w:hAnsi="Times New Roman" w:cs="Times New Roman"/>
        <w:bCs/>
        <w:lang w:eastAsia="zh-CN"/>
      </w:rPr>
      <w:t>Shanghai, China</w:t>
    </w:r>
  </w:p>
  <w:p w:rsidR="00032304" w:rsidRPr="00E235B7" w:rsidRDefault="00255A7E" w:rsidP="005154BB">
    <w:pPr>
      <w:pStyle w:val="WP"/>
      <w:tabs>
        <w:tab w:val="right" w:pos="10260"/>
      </w:tabs>
      <w:rPr>
        <w:rFonts w:ascii="Times New Roman" w:eastAsia="SimSun" w:hAnsi="Times New Roman" w:cs="Times New Roman"/>
        <w:bCs/>
        <w:lang w:eastAsia="zh-CN"/>
      </w:rPr>
    </w:pPr>
    <w:r>
      <w:rPr>
        <w:rFonts w:ascii="Times New Roman" w:eastAsia="SimSun" w:hAnsi="Times New Roman" w:cs="Times New Roman"/>
        <w:bCs/>
        <w:lang w:eastAsia="zh-CN"/>
      </w:rPr>
      <w:t>9 – 13 March</w:t>
    </w:r>
    <w:r w:rsidR="005154BB">
      <w:rPr>
        <w:rFonts w:ascii="Times New Roman" w:eastAsia="SimSun" w:hAnsi="Times New Roman" w:cs="Times New Roman"/>
        <w:bCs/>
        <w:lang w:eastAsia="zh-CN"/>
      </w:rPr>
      <w:t xml:space="preserve"> 2015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012FBA"/>
    <w:multiLevelType w:val="hybridMultilevel"/>
    <w:tmpl w:val="6AA25BA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98159F5"/>
    <w:multiLevelType w:val="hybridMultilevel"/>
    <w:tmpl w:val="EA963D90"/>
    <w:lvl w:ilvl="0" w:tplc="CB8A1758">
      <w:start w:val="1"/>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FAD245F"/>
    <w:multiLevelType w:val="hybridMultilevel"/>
    <w:tmpl w:val="1768757A"/>
    <w:lvl w:ilvl="0" w:tplc="CB8A1758">
      <w:start w:val="1"/>
      <w:numFmt w:val="bullet"/>
      <w:lvlText w:val="-"/>
      <w:lvlJc w:val="left"/>
      <w:pPr>
        <w:ind w:left="720" w:hanging="360"/>
      </w:pPr>
      <w:rPr>
        <w:rFonts w:ascii="Times New Roman" w:eastAsia="SimSun" w:hAnsi="Times New Roman" w:cs="Times New Roman" w:hint="default"/>
      </w:rPr>
    </w:lvl>
    <w:lvl w:ilvl="1" w:tplc="0809000F">
      <w:start w:val="1"/>
      <w:numFmt w:val="decimal"/>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00A0D6E"/>
    <w:multiLevelType w:val="hybridMultilevel"/>
    <w:tmpl w:val="E70EB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3C11B3"/>
    <w:multiLevelType w:val="hybridMultilevel"/>
    <w:tmpl w:val="8190040C"/>
    <w:lvl w:ilvl="0" w:tplc="1FBCC2FA">
      <w:start w:val="1"/>
      <w:numFmt w:val="decimal"/>
      <w:lvlText w:val="[%1]"/>
      <w:lvlJc w:val="left"/>
      <w:pPr>
        <w:tabs>
          <w:tab w:val="num" w:pos="1140"/>
        </w:tabs>
        <w:ind w:left="1140" w:hanging="114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38207CB"/>
    <w:multiLevelType w:val="hybridMultilevel"/>
    <w:tmpl w:val="D79E7B92"/>
    <w:lvl w:ilvl="0" w:tplc="C1E403B6">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15687387"/>
    <w:multiLevelType w:val="multilevel"/>
    <w:tmpl w:val="7A601FD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4284959"/>
    <w:multiLevelType w:val="hybridMultilevel"/>
    <w:tmpl w:val="5AC841AA"/>
    <w:lvl w:ilvl="0" w:tplc="1FBCC2FA">
      <w:start w:val="1"/>
      <w:numFmt w:val="decimal"/>
      <w:lvlText w:val="[%1]"/>
      <w:lvlJc w:val="left"/>
      <w:pPr>
        <w:tabs>
          <w:tab w:val="num" w:pos="1140"/>
        </w:tabs>
        <w:ind w:left="114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2565537F"/>
    <w:multiLevelType w:val="hybridMultilevel"/>
    <w:tmpl w:val="12162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nsid w:val="2B830A18"/>
    <w:multiLevelType w:val="hybridMultilevel"/>
    <w:tmpl w:val="CFC076A4"/>
    <w:lvl w:ilvl="0" w:tplc="70DC42D2">
      <w:numFmt w:val="decimalZero"/>
      <w:lvlText w:val="%1"/>
      <w:lvlJc w:val="left"/>
      <w:pPr>
        <w:ind w:left="1680" w:hanging="60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0">
    <w:nsid w:val="2BDD0067"/>
    <w:multiLevelType w:val="hybridMultilevel"/>
    <w:tmpl w:val="2CA41F7C"/>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nsid w:val="2D4E4476"/>
    <w:multiLevelType w:val="hybridMultilevel"/>
    <w:tmpl w:val="4B929C58"/>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1443BA8"/>
    <w:multiLevelType w:val="hybridMultilevel"/>
    <w:tmpl w:val="D2489E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19A2ECA"/>
    <w:multiLevelType w:val="hybridMultilevel"/>
    <w:tmpl w:val="5B5A1D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366BA1"/>
    <w:multiLevelType w:val="hybridMultilevel"/>
    <w:tmpl w:val="ADE4A67A"/>
    <w:lvl w:ilvl="0" w:tplc="19867E6C">
      <w:start w:val="1"/>
      <w:numFmt w:val="bullet"/>
      <w:lvlText w:val="•"/>
      <w:lvlJc w:val="left"/>
      <w:pPr>
        <w:tabs>
          <w:tab w:val="num" w:pos="720"/>
        </w:tabs>
        <w:ind w:left="720" w:hanging="360"/>
      </w:pPr>
      <w:rPr>
        <w:rFonts w:ascii="Arial" w:hAnsi="Arial" w:hint="default"/>
      </w:rPr>
    </w:lvl>
    <w:lvl w:ilvl="1" w:tplc="8772C4C2" w:tentative="1">
      <w:start w:val="1"/>
      <w:numFmt w:val="bullet"/>
      <w:lvlText w:val="•"/>
      <w:lvlJc w:val="left"/>
      <w:pPr>
        <w:tabs>
          <w:tab w:val="num" w:pos="1440"/>
        </w:tabs>
        <w:ind w:left="1440" w:hanging="360"/>
      </w:pPr>
      <w:rPr>
        <w:rFonts w:ascii="Arial" w:hAnsi="Arial" w:hint="default"/>
      </w:rPr>
    </w:lvl>
    <w:lvl w:ilvl="2" w:tplc="F16A15F8" w:tentative="1">
      <w:start w:val="1"/>
      <w:numFmt w:val="bullet"/>
      <w:lvlText w:val="•"/>
      <w:lvlJc w:val="left"/>
      <w:pPr>
        <w:tabs>
          <w:tab w:val="num" w:pos="2160"/>
        </w:tabs>
        <w:ind w:left="2160" w:hanging="360"/>
      </w:pPr>
      <w:rPr>
        <w:rFonts w:ascii="Arial" w:hAnsi="Arial" w:hint="default"/>
      </w:rPr>
    </w:lvl>
    <w:lvl w:ilvl="3" w:tplc="23BE7EC6" w:tentative="1">
      <w:start w:val="1"/>
      <w:numFmt w:val="bullet"/>
      <w:lvlText w:val="•"/>
      <w:lvlJc w:val="left"/>
      <w:pPr>
        <w:tabs>
          <w:tab w:val="num" w:pos="2880"/>
        </w:tabs>
        <w:ind w:left="2880" w:hanging="360"/>
      </w:pPr>
      <w:rPr>
        <w:rFonts w:ascii="Arial" w:hAnsi="Arial" w:hint="default"/>
      </w:rPr>
    </w:lvl>
    <w:lvl w:ilvl="4" w:tplc="F1723DDC" w:tentative="1">
      <w:start w:val="1"/>
      <w:numFmt w:val="bullet"/>
      <w:lvlText w:val="•"/>
      <w:lvlJc w:val="left"/>
      <w:pPr>
        <w:tabs>
          <w:tab w:val="num" w:pos="3600"/>
        </w:tabs>
        <w:ind w:left="3600" w:hanging="360"/>
      </w:pPr>
      <w:rPr>
        <w:rFonts w:ascii="Arial" w:hAnsi="Arial" w:hint="default"/>
      </w:rPr>
    </w:lvl>
    <w:lvl w:ilvl="5" w:tplc="AFA04094" w:tentative="1">
      <w:start w:val="1"/>
      <w:numFmt w:val="bullet"/>
      <w:lvlText w:val="•"/>
      <w:lvlJc w:val="left"/>
      <w:pPr>
        <w:tabs>
          <w:tab w:val="num" w:pos="4320"/>
        </w:tabs>
        <w:ind w:left="4320" w:hanging="360"/>
      </w:pPr>
      <w:rPr>
        <w:rFonts w:ascii="Arial" w:hAnsi="Arial" w:hint="default"/>
      </w:rPr>
    </w:lvl>
    <w:lvl w:ilvl="6" w:tplc="DFB4BC56" w:tentative="1">
      <w:start w:val="1"/>
      <w:numFmt w:val="bullet"/>
      <w:lvlText w:val="•"/>
      <w:lvlJc w:val="left"/>
      <w:pPr>
        <w:tabs>
          <w:tab w:val="num" w:pos="5040"/>
        </w:tabs>
        <w:ind w:left="5040" w:hanging="360"/>
      </w:pPr>
      <w:rPr>
        <w:rFonts w:ascii="Arial" w:hAnsi="Arial" w:hint="default"/>
      </w:rPr>
    </w:lvl>
    <w:lvl w:ilvl="7" w:tplc="CDF60CD0" w:tentative="1">
      <w:start w:val="1"/>
      <w:numFmt w:val="bullet"/>
      <w:lvlText w:val="•"/>
      <w:lvlJc w:val="left"/>
      <w:pPr>
        <w:tabs>
          <w:tab w:val="num" w:pos="5760"/>
        </w:tabs>
        <w:ind w:left="5760" w:hanging="360"/>
      </w:pPr>
      <w:rPr>
        <w:rFonts w:ascii="Arial" w:hAnsi="Arial" w:hint="default"/>
      </w:rPr>
    </w:lvl>
    <w:lvl w:ilvl="8" w:tplc="046C25AC" w:tentative="1">
      <w:start w:val="1"/>
      <w:numFmt w:val="bullet"/>
      <w:lvlText w:val="•"/>
      <w:lvlJc w:val="left"/>
      <w:pPr>
        <w:tabs>
          <w:tab w:val="num" w:pos="6480"/>
        </w:tabs>
        <w:ind w:left="6480" w:hanging="360"/>
      </w:pPr>
      <w:rPr>
        <w:rFonts w:ascii="Arial" w:hAnsi="Arial" w:hint="default"/>
      </w:rPr>
    </w:lvl>
  </w:abstractNum>
  <w:abstractNum w:abstractNumId="15">
    <w:nsid w:val="33BA2DF0"/>
    <w:multiLevelType w:val="hybridMultilevel"/>
    <w:tmpl w:val="1AE2CE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4B842F6"/>
    <w:multiLevelType w:val="hybridMultilevel"/>
    <w:tmpl w:val="57F6E1E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384E3AF6"/>
    <w:multiLevelType w:val="hybridMultilevel"/>
    <w:tmpl w:val="3EF462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B070D0"/>
    <w:multiLevelType w:val="multilevel"/>
    <w:tmpl w:val="97FE669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9">
    <w:nsid w:val="3E2A1B4E"/>
    <w:multiLevelType w:val="hybridMultilevel"/>
    <w:tmpl w:val="4A80A0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3DC0365"/>
    <w:multiLevelType w:val="hybridMultilevel"/>
    <w:tmpl w:val="4112C5EA"/>
    <w:lvl w:ilvl="0" w:tplc="C882B34A">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5D5338A"/>
    <w:multiLevelType w:val="hybridMultilevel"/>
    <w:tmpl w:val="0038E2E2"/>
    <w:lvl w:ilvl="0" w:tplc="8442477E">
      <w:start w:val="1"/>
      <w:numFmt w:val="bullet"/>
      <w:lvlText w:val="•"/>
      <w:lvlJc w:val="left"/>
      <w:pPr>
        <w:tabs>
          <w:tab w:val="num" w:pos="720"/>
        </w:tabs>
        <w:ind w:left="720" w:hanging="360"/>
      </w:pPr>
      <w:rPr>
        <w:rFonts w:ascii="Arial" w:hAnsi="Arial" w:hint="default"/>
      </w:rPr>
    </w:lvl>
    <w:lvl w:ilvl="1" w:tplc="15D26C54" w:tentative="1">
      <w:start w:val="1"/>
      <w:numFmt w:val="bullet"/>
      <w:lvlText w:val="•"/>
      <w:lvlJc w:val="left"/>
      <w:pPr>
        <w:tabs>
          <w:tab w:val="num" w:pos="1440"/>
        </w:tabs>
        <w:ind w:left="1440" w:hanging="360"/>
      </w:pPr>
      <w:rPr>
        <w:rFonts w:ascii="Arial" w:hAnsi="Arial" w:hint="default"/>
      </w:rPr>
    </w:lvl>
    <w:lvl w:ilvl="2" w:tplc="384AC7CA" w:tentative="1">
      <w:start w:val="1"/>
      <w:numFmt w:val="bullet"/>
      <w:lvlText w:val="•"/>
      <w:lvlJc w:val="left"/>
      <w:pPr>
        <w:tabs>
          <w:tab w:val="num" w:pos="2160"/>
        </w:tabs>
        <w:ind w:left="2160" w:hanging="360"/>
      </w:pPr>
      <w:rPr>
        <w:rFonts w:ascii="Arial" w:hAnsi="Arial" w:hint="default"/>
      </w:rPr>
    </w:lvl>
    <w:lvl w:ilvl="3" w:tplc="344CAA76" w:tentative="1">
      <w:start w:val="1"/>
      <w:numFmt w:val="bullet"/>
      <w:lvlText w:val="•"/>
      <w:lvlJc w:val="left"/>
      <w:pPr>
        <w:tabs>
          <w:tab w:val="num" w:pos="2880"/>
        </w:tabs>
        <w:ind w:left="2880" w:hanging="360"/>
      </w:pPr>
      <w:rPr>
        <w:rFonts w:ascii="Arial" w:hAnsi="Arial" w:hint="default"/>
      </w:rPr>
    </w:lvl>
    <w:lvl w:ilvl="4" w:tplc="11AE8682" w:tentative="1">
      <w:start w:val="1"/>
      <w:numFmt w:val="bullet"/>
      <w:lvlText w:val="•"/>
      <w:lvlJc w:val="left"/>
      <w:pPr>
        <w:tabs>
          <w:tab w:val="num" w:pos="3600"/>
        </w:tabs>
        <w:ind w:left="3600" w:hanging="360"/>
      </w:pPr>
      <w:rPr>
        <w:rFonts w:ascii="Arial" w:hAnsi="Arial" w:hint="default"/>
      </w:rPr>
    </w:lvl>
    <w:lvl w:ilvl="5" w:tplc="AC4EBA1C" w:tentative="1">
      <w:start w:val="1"/>
      <w:numFmt w:val="bullet"/>
      <w:lvlText w:val="•"/>
      <w:lvlJc w:val="left"/>
      <w:pPr>
        <w:tabs>
          <w:tab w:val="num" w:pos="4320"/>
        </w:tabs>
        <w:ind w:left="4320" w:hanging="360"/>
      </w:pPr>
      <w:rPr>
        <w:rFonts w:ascii="Arial" w:hAnsi="Arial" w:hint="default"/>
      </w:rPr>
    </w:lvl>
    <w:lvl w:ilvl="6" w:tplc="5CC0C9E6" w:tentative="1">
      <w:start w:val="1"/>
      <w:numFmt w:val="bullet"/>
      <w:lvlText w:val="•"/>
      <w:lvlJc w:val="left"/>
      <w:pPr>
        <w:tabs>
          <w:tab w:val="num" w:pos="5040"/>
        </w:tabs>
        <w:ind w:left="5040" w:hanging="360"/>
      </w:pPr>
      <w:rPr>
        <w:rFonts w:ascii="Arial" w:hAnsi="Arial" w:hint="default"/>
      </w:rPr>
    </w:lvl>
    <w:lvl w:ilvl="7" w:tplc="F4B8EA68" w:tentative="1">
      <w:start w:val="1"/>
      <w:numFmt w:val="bullet"/>
      <w:lvlText w:val="•"/>
      <w:lvlJc w:val="left"/>
      <w:pPr>
        <w:tabs>
          <w:tab w:val="num" w:pos="5760"/>
        </w:tabs>
        <w:ind w:left="5760" w:hanging="360"/>
      </w:pPr>
      <w:rPr>
        <w:rFonts w:ascii="Arial" w:hAnsi="Arial" w:hint="default"/>
      </w:rPr>
    </w:lvl>
    <w:lvl w:ilvl="8" w:tplc="260AA036" w:tentative="1">
      <w:start w:val="1"/>
      <w:numFmt w:val="bullet"/>
      <w:lvlText w:val="•"/>
      <w:lvlJc w:val="left"/>
      <w:pPr>
        <w:tabs>
          <w:tab w:val="num" w:pos="6480"/>
        </w:tabs>
        <w:ind w:left="6480" w:hanging="360"/>
      </w:pPr>
      <w:rPr>
        <w:rFonts w:ascii="Arial" w:hAnsi="Arial" w:hint="default"/>
      </w:rPr>
    </w:lvl>
  </w:abstractNum>
  <w:abstractNum w:abstractNumId="22">
    <w:nsid w:val="46696FF4"/>
    <w:multiLevelType w:val="hybridMultilevel"/>
    <w:tmpl w:val="FF305D74"/>
    <w:lvl w:ilvl="0" w:tplc="B27605B4">
      <w:start w:val="2"/>
      <w:numFmt w:val="decimal"/>
      <w:lvlText w:val="%1."/>
      <w:lvlJc w:val="left"/>
      <w:pPr>
        <w:tabs>
          <w:tab w:val="num" w:pos="420"/>
        </w:tabs>
        <w:ind w:left="420" w:hanging="420"/>
      </w:pPr>
      <w:rPr>
        <w:rFonts w:hint="default"/>
      </w:rPr>
    </w:lvl>
    <w:lvl w:ilvl="1" w:tplc="399C7422">
      <w:start w:val="2"/>
      <w:numFmt w:val="decimal"/>
      <w:isLgl/>
      <w:lvlText w:val="%2.%2"/>
      <w:lvlJc w:val="left"/>
      <w:pPr>
        <w:tabs>
          <w:tab w:val="num" w:pos="390"/>
        </w:tabs>
        <w:ind w:left="390" w:hanging="390"/>
      </w:pPr>
      <w:rPr>
        <w:rFonts w:hint="default"/>
      </w:rPr>
    </w:lvl>
    <w:lvl w:ilvl="2" w:tplc="BB926182">
      <w:numFmt w:val="none"/>
      <w:lvlText w:val=""/>
      <w:lvlJc w:val="left"/>
      <w:pPr>
        <w:tabs>
          <w:tab w:val="num" w:pos="360"/>
        </w:tabs>
      </w:pPr>
    </w:lvl>
    <w:lvl w:ilvl="3" w:tplc="554CDD00">
      <w:numFmt w:val="none"/>
      <w:lvlText w:val=""/>
      <w:lvlJc w:val="left"/>
      <w:pPr>
        <w:tabs>
          <w:tab w:val="num" w:pos="360"/>
        </w:tabs>
      </w:pPr>
    </w:lvl>
    <w:lvl w:ilvl="4" w:tplc="C4CA263E">
      <w:numFmt w:val="none"/>
      <w:lvlText w:val=""/>
      <w:lvlJc w:val="left"/>
      <w:pPr>
        <w:tabs>
          <w:tab w:val="num" w:pos="360"/>
        </w:tabs>
      </w:pPr>
    </w:lvl>
    <w:lvl w:ilvl="5" w:tplc="969685FC">
      <w:numFmt w:val="none"/>
      <w:lvlText w:val=""/>
      <w:lvlJc w:val="left"/>
      <w:pPr>
        <w:tabs>
          <w:tab w:val="num" w:pos="360"/>
        </w:tabs>
      </w:pPr>
    </w:lvl>
    <w:lvl w:ilvl="6" w:tplc="A14204DA">
      <w:numFmt w:val="none"/>
      <w:lvlText w:val=""/>
      <w:lvlJc w:val="left"/>
      <w:pPr>
        <w:tabs>
          <w:tab w:val="num" w:pos="360"/>
        </w:tabs>
      </w:pPr>
    </w:lvl>
    <w:lvl w:ilvl="7" w:tplc="5F9A13B0">
      <w:numFmt w:val="none"/>
      <w:lvlText w:val=""/>
      <w:lvlJc w:val="left"/>
      <w:pPr>
        <w:tabs>
          <w:tab w:val="num" w:pos="360"/>
        </w:tabs>
      </w:pPr>
    </w:lvl>
    <w:lvl w:ilvl="8" w:tplc="A81019B0">
      <w:numFmt w:val="none"/>
      <w:lvlText w:val=""/>
      <w:lvlJc w:val="left"/>
      <w:pPr>
        <w:tabs>
          <w:tab w:val="num" w:pos="360"/>
        </w:tabs>
      </w:pPr>
    </w:lvl>
  </w:abstractNum>
  <w:abstractNum w:abstractNumId="23">
    <w:nsid w:val="48FF347D"/>
    <w:multiLevelType w:val="hybridMultilevel"/>
    <w:tmpl w:val="CEF637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4AE60FB3"/>
    <w:multiLevelType w:val="hybridMultilevel"/>
    <w:tmpl w:val="FF5407C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C6C095E"/>
    <w:multiLevelType w:val="hybridMultilevel"/>
    <w:tmpl w:val="3C62ED1E"/>
    <w:lvl w:ilvl="0" w:tplc="08090005">
      <w:start w:val="1"/>
      <w:numFmt w:val="bullet"/>
      <w:lvlText w:val=""/>
      <w:lvlJc w:val="left"/>
      <w:pPr>
        <w:ind w:left="1800" w:hanging="360"/>
      </w:pPr>
      <w:rPr>
        <w:rFonts w:ascii="Wingdings" w:hAnsi="Wingdings"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nsid w:val="53DD14DC"/>
    <w:multiLevelType w:val="hybridMultilevel"/>
    <w:tmpl w:val="19A07536"/>
    <w:lvl w:ilvl="0" w:tplc="08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500"/>
        </w:tabs>
        <w:ind w:left="1500" w:hanging="420"/>
      </w:pPr>
      <w:rPr>
        <w:rFonts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nsid w:val="5E855F53"/>
    <w:multiLevelType w:val="hybridMultilevel"/>
    <w:tmpl w:val="6EA409F8"/>
    <w:lvl w:ilvl="0" w:tplc="F1224802">
      <w:start w:val="1"/>
      <w:numFmt w:val="bullet"/>
      <w:lvlText w:val="•"/>
      <w:lvlJc w:val="left"/>
      <w:pPr>
        <w:tabs>
          <w:tab w:val="num" w:pos="720"/>
        </w:tabs>
        <w:ind w:left="720" w:hanging="360"/>
      </w:pPr>
      <w:rPr>
        <w:rFonts w:ascii="Arial" w:hAnsi="Arial" w:hint="default"/>
      </w:rPr>
    </w:lvl>
    <w:lvl w:ilvl="1" w:tplc="00DA18C4" w:tentative="1">
      <w:start w:val="1"/>
      <w:numFmt w:val="bullet"/>
      <w:lvlText w:val="•"/>
      <w:lvlJc w:val="left"/>
      <w:pPr>
        <w:tabs>
          <w:tab w:val="num" w:pos="1440"/>
        </w:tabs>
        <w:ind w:left="1440" w:hanging="360"/>
      </w:pPr>
      <w:rPr>
        <w:rFonts w:ascii="Arial" w:hAnsi="Arial" w:hint="default"/>
      </w:rPr>
    </w:lvl>
    <w:lvl w:ilvl="2" w:tplc="81841454" w:tentative="1">
      <w:start w:val="1"/>
      <w:numFmt w:val="bullet"/>
      <w:lvlText w:val="•"/>
      <w:lvlJc w:val="left"/>
      <w:pPr>
        <w:tabs>
          <w:tab w:val="num" w:pos="2160"/>
        </w:tabs>
        <w:ind w:left="2160" w:hanging="360"/>
      </w:pPr>
      <w:rPr>
        <w:rFonts w:ascii="Arial" w:hAnsi="Arial" w:hint="default"/>
      </w:rPr>
    </w:lvl>
    <w:lvl w:ilvl="3" w:tplc="3A40F994" w:tentative="1">
      <w:start w:val="1"/>
      <w:numFmt w:val="bullet"/>
      <w:lvlText w:val="•"/>
      <w:lvlJc w:val="left"/>
      <w:pPr>
        <w:tabs>
          <w:tab w:val="num" w:pos="2880"/>
        </w:tabs>
        <w:ind w:left="2880" w:hanging="360"/>
      </w:pPr>
      <w:rPr>
        <w:rFonts w:ascii="Arial" w:hAnsi="Arial" w:hint="default"/>
      </w:rPr>
    </w:lvl>
    <w:lvl w:ilvl="4" w:tplc="513619CC" w:tentative="1">
      <w:start w:val="1"/>
      <w:numFmt w:val="bullet"/>
      <w:lvlText w:val="•"/>
      <w:lvlJc w:val="left"/>
      <w:pPr>
        <w:tabs>
          <w:tab w:val="num" w:pos="3600"/>
        </w:tabs>
        <w:ind w:left="3600" w:hanging="360"/>
      </w:pPr>
      <w:rPr>
        <w:rFonts w:ascii="Arial" w:hAnsi="Arial" w:hint="default"/>
      </w:rPr>
    </w:lvl>
    <w:lvl w:ilvl="5" w:tplc="F96A0988" w:tentative="1">
      <w:start w:val="1"/>
      <w:numFmt w:val="bullet"/>
      <w:lvlText w:val="•"/>
      <w:lvlJc w:val="left"/>
      <w:pPr>
        <w:tabs>
          <w:tab w:val="num" w:pos="4320"/>
        </w:tabs>
        <w:ind w:left="4320" w:hanging="360"/>
      </w:pPr>
      <w:rPr>
        <w:rFonts w:ascii="Arial" w:hAnsi="Arial" w:hint="default"/>
      </w:rPr>
    </w:lvl>
    <w:lvl w:ilvl="6" w:tplc="0B1460B0" w:tentative="1">
      <w:start w:val="1"/>
      <w:numFmt w:val="bullet"/>
      <w:lvlText w:val="•"/>
      <w:lvlJc w:val="left"/>
      <w:pPr>
        <w:tabs>
          <w:tab w:val="num" w:pos="5040"/>
        </w:tabs>
        <w:ind w:left="5040" w:hanging="360"/>
      </w:pPr>
      <w:rPr>
        <w:rFonts w:ascii="Arial" w:hAnsi="Arial" w:hint="default"/>
      </w:rPr>
    </w:lvl>
    <w:lvl w:ilvl="7" w:tplc="D2B01FE2" w:tentative="1">
      <w:start w:val="1"/>
      <w:numFmt w:val="bullet"/>
      <w:lvlText w:val="•"/>
      <w:lvlJc w:val="left"/>
      <w:pPr>
        <w:tabs>
          <w:tab w:val="num" w:pos="5760"/>
        </w:tabs>
        <w:ind w:left="5760" w:hanging="360"/>
      </w:pPr>
      <w:rPr>
        <w:rFonts w:ascii="Arial" w:hAnsi="Arial" w:hint="default"/>
      </w:rPr>
    </w:lvl>
    <w:lvl w:ilvl="8" w:tplc="85163C56" w:tentative="1">
      <w:start w:val="1"/>
      <w:numFmt w:val="bullet"/>
      <w:lvlText w:val="•"/>
      <w:lvlJc w:val="left"/>
      <w:pPr>
        <w:tabs>
          <w:tab w:val="num" w:pos="6480"/>
        </w:tabs>
        <w:ind w:left="6480" w:hanging="360"/>
      </w:pPr>
      <w:rPr>
        <w:rFonts w:ascii="Arial" w:hAnsi="Arial" w:hint="default"/>
      </w:rPr>
    </w:lvl>
  </w:abstractNum>
  <w:abstractNum w:abstractNumId="28">
    <w:nsid w:val="5F2309E6"/>
    <w:multiLevelType w:val="hybridMultilevel"/>
    <w:tmpl w:val="955ED006"/>
    <w:lvl w:ilvl="0" w:tplc="6F0A43DA">
      <w:numFmt w:val="decimal"/>
      <w:lvlText w:val="%1"/>
      <w:lvlJc w:val="left"/>
      <w:pPr>
        <w:tabs>
          <w:tab w:val="num" w:pos="540"/>
        </w:tabs>
        <w:ind w:left="540" w:hanging="54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60126E41"/>
    <w:multiLevelType w:val="multilevel"/>
    <w:tmpl w:val="0809001F"/>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30">
    <w:nsid w:val="62DB44B6"/>
    <w:multiLevelType w:val="hybridMultilevel"/>
    <w:tmpl w:val="7A601FD0"/>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nsid w:val="640D15F8"/>
    <w:multiLevelType w:val="hybridMultilevel"/>
    <w:tmpl w:val="A0985482"/>
    <w:lvl w:ilvl="0" w:tplc="981ABEA6">
      <w:start w:val="5"/>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6AC54B7E"/>
    <w:multiLevelType w:val="hybridMultilevel"/>
    <w:tmpl w:val="C394AB3A"/>
    <w:lvl w:ilvl="0" w:tplc="83BC2B28">
      <w:start w:val="1"/>
      <w:numFmt w:val="bullet"/>
      <w:lvlText w:val="•"/>
      <w:lvlJc w:val="left"/>
      <w:pPr>
        <w:tabs>
          <w:tab w:val="num" w:pos="720"/>
        </w:tabs>
        <w:ind w:left="720" w:hanging="360"/>
      </w:pPr>
      <w:rPr>
        <w:rFonts w:ascii="Arial" w:hAnsi="Arial" w:hint="default"/>
      </w:rPr>
    </w:lvl>
    <w:lvl w:ilvl="1" w:tplc="FD92810A" w:tentative="1">
      <w:start w:val="1"/>
      <w:numFmt w:val="bullet"/>
      <w:lvlText w:val="•"/>
      <w:lvlJc w:val="left"/>
      <w:pPr>
        <w:tabs>
          <w:tab w:val="num" w:pos="1440"/>
        </w:tabs>
        <w:ind w:left="1440" w:hanging="360"/>
      </w:pPr>
      <w:rPr>
        <w:rFonts w:ascii="Arial" w:hAnsi="Arial" w:hint="default"/>
      </w:rPr>
    </w:lvl>
    <w:lvl w:ilvl="2" w:tplc="BE7C2246" w:tentative="1">
      <w:start w:val="1"/>
      <w:numFmt w:val="bullet"/>
      <w:lvlText w:val="•"/>
      <w:lvlJc w:val="left"/>
      <w:pPr>
        <w:tabs>
          <w:tab w:val="num" w:pos="2160"/>
        </w:tabs>
        <w:ind w:left="2160" w:hanging="360"/>
      </w:pPr>
      <w:rPr>
        <w:rFonts w:ascii="Arial" w:hAnsi="Arial" w:hint="default"/>
      </w:rPr>
    </w:lvl>
    <w:lvl w:ilvl="3" w:tplc="4450223E" w:tentative="1">
      <w:start w:val="1"/>
      <w:numFmt w:val="bullet"/>
      <w:lvlText w:val="•"/>
      <w:lvlJc w:val="left"/>
      <w:pPr>
        <w:tabs>
          <w:tab w:val="num" w:pos="2880"/>
        </w:tabs>
        <w:ind w:left="2880" w:hanging="360"/>
      </w:pPr>
      <w:rPr>
        <w:rFonts w:ascii="Arial" w:hAnsi="Arial" w:hint="default"/>
      </w:rPr>
    </w:lvl>
    <w:lvl w:ilvl="4" w:tplc="1C30E30A" w:tentative="1">
      <w:start w:val="1"/>
      <w:numFmt w:val="bullet"/>
      <w:lvlText w:val="•"/>
      <w:lvlJc w:val="left"/>
      <w:pPr>
        <w:tabs>
          <w:tab w:val="num" w:pos="3600"/>
        </w:tabs>
        <w:ind w:left="3600" w:hanging="360"/>
      </w:pPr>
      <w:rPr>
        <w:rFonts w:ascii="Arial" w:hAnsi="Arial" w:hint="default"/>
      </w:rPr>
    </w:lvl>
    <w:lvl w:ilvl="5" w:tplc="8E4A47DC" w:tentative="1">
      <w:start w:val="1"/>
      <w:numFmt w:val="bullet"/>
      <w:lvlText w:val="•"/>
      <w:lvlJc w:val="left"/>
      <w:pPr>
        <w:tabs>
          <w:tab w:val="num" w:pos="4320"/>
        </w:tabs>
        <w:ind w:left="4320" w:hanging="360"/>
      </w:pPr>
      <w:rPr>
        <w:rFonts w:ascii="Arial" w:hAnsi="Arial" w:hint="default"/>
      </w:rPr>
    </w:lvl>
    <w:lvl w:ilvl="6" w:tplc="26503DF6" w:tentative="1">
      <w:start w:val="1"/>
      <w:numFmt w:val="bullet"/>
      <w:lvlText w:val="•"/>
      <w:lvlJc w:val="left"/>
      <w:pPr>
        <w:tabs>
          <w:tab w:val="num" w:pos="5040"/>
        </w:tabs>
        <w:ind w:left="5040" w:hanging="360"/>
      </w:pPr>
      <w:rPr>
        <w:rFonts w:ascii="Arial" w:hAnsi="Arial" w:hint="default"/>
      </w:rPr>
    </w:lvl>
    <w:lvl w:ilvl="7" w:tplc="64C436D8" w:tentative="1">
      <w:start w:val="1"/>
      <w:numFmt w:val="bullet"/>
      <w:lvlText w:val="•"/>
      <w:lvlJc w:val="left"/>
      <w:pPr>
        <w:tabs>
          <w:tab w:val="num" w:pos="5760"/>
        </w:tabs>
        <w:ind w:left="5760" w:hanging="360"/>
      </w:pPr>
      <w:rPr>
        <w:rFonts w:ascii="Arial" w:hAnsi="Arial" w:hint="default"/>
      </w:rPr>
    </w:lvl>
    <w:lvl w:ilvl="8" w:tplc="70B0697A" w:tentative="1">
      <w:start w:val="1"/>
      <w:numFmt w:val="bullet"/>
      <w:lvlText w:val="•"/>
      <w:lvlJc w:val="left"/>
      <w:pPr>
        <w:tabs>
          <w:tab w:val="num" w:pos="6480"/>
        </w:tabs>
        <w:ind w:left="6480" w:hanging="360"/>
      </w:pPr>
      <w:rPr>
        <w:rFonts w:ascii="Arial" w:hAnsi="Arial" w:hint="default"/>
      </w:rPr>
    </w:lvl>
  </w:abstractNum>
  <w:abstractNum w:abstractNumId="33">
    <w:nsid w:val="72DD4EE7"/>
    <w:multiLevelType w:val="multilevel"/>
    <w:tmpl w:val="8558E9B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nsid w:val="759A6BB6"/>
    <w:multiLevelType w:val="hybridMultilevel"/>
    <w:tmpl w:val="C1EACE66"/>
    <w:lvl w:ilvl="0" w:tplc="14CE7422">
      <w:start w:val="6"/>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2"/>
  </w:num>
  <w:num w:numId="2">
    <w:abstractNumId w:val="5"/>
  </w:num>
  <w:num w:numId="3">
    <w:abstractNumId w:val="28"/>
  </w:num>
  <w:num w:numId="4">
    <w:abstractNumId w:val="26"/>
  </w:num>
  <w:num w:numId="5">
    <w:abstractNumId w:val="20"/>
  </w:num>
  <w:num w:numId="6">
    <w:abstractNumId w:val="34"/>
  </w:num>
  <w:num w:numId="7">
    <w:abstractNumId w:val="31"/>
  </w:num>
  <w:num w:numId="8">
    <w:abstractNumId w:val="10"/>
  </w:num>
  <w:num w:numId="9">
    <w:abstractNumId w:val="33"/>
  </w:num>
  <w:num w:numId="10">
    <w:abstractNumId w:val="30"/>
  </w:num>
  <w:num w:numId="11">
    <w:abstractNumId w:val="6"/>
  </w:num>
  <w:num w:numId="12">
    <w:abstractNumId w:val="18"/>
  </w:num>
  <w:num w:numId="13">
    <w:abstractNumId w:val="11"/>
  </w:num>
  <w:num w:numId="14">
    <w:abstractNumId w:val="29"/>
  </w:num>
  <w:num w:numId="15">
    <w:abstractNumId w:val="7"/>
  </w:num>
  <w:num w:numId="16">
    <w:abstractNumId w:val="16"/>
  </w:num>
  <w:num w:numId="17">
    <w:abstractNumId w:val="17"/>
  </w:num>
  <w:num w:numId="18">
    <w:abstractNumId w:val="12"/>
  </w:num>
  <w:num w:numId="19">
    <w:abstractNumId w:val="3"/>
  </w:num>
  <w:num w:numId="20">
    <w:abstractNumId w:val="24"/>
  </w:num>
  <w:num w:numId="21">
    <w:abstractNumId w:val="4"/>
  </w:num>
  <w:num w:numId="22">
    <w:abstractNumId w:val="27"/>
  </w:num>
  <w:num w:numId="23">
    <w:abstractNumId w:val="14"/>
  </w:num>
  <w:num w:numId="24">
    <w:abstractNumId w:val="32"/>
  </w:num>
  <w:num w:numId="25">
    <w:abstractNumId w:val="21"/>
  </w:num>
  <w:num w:numId="26">
    <w:abstractNumId w:val="23"/>
  </w:num>
  <w:num w:numId="27">
    <w:abstractNumId w:val="19"/>
  </w:num>
  <w:num w:numId="28">
    <w:abstractNumId w:val="15"/>
  </w:num>
  <w:num w:numId="29">
    <w:abstractNumId w:val="8"/>
  </w:num>
  <w:num w:numId="30">
    <w:abstractNumId w:val="1"/>
  </w:num>
  <w:num w:numId="31">
    <w:abstractNumId w:val="2"/>
  </w:num>
  <w:num w:numId="32">
    <w:abstractNumId w:val="25"/>
  </w:num>
  <w:num w:numId="33">
    <w:abstractNumId w:val="9"/>
  </w:num>
  <w:num w:numId="34">
    <w:abstractNumId w:val="13"/>
  </w:num>
  <w:num w:numId="3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1885"/>
    <w:rsid w:val="00011F38"/>
    <w:rsid w:val="00012ABA"/>
    <w:rsid w:val="000244D2"/>
    <w:rsid w:val="0002737E"/>
    <w:rsid w:val="00030094"/>
    <w:rsid w:val="00032304"/>
    <w:rsid w:val="00034071"/>
    <w:rsid w:val="00043D38"/>
    <w:rsid w:val="00052E93"/>
    <w:rsid w:val="0005379D"/>
    <w:rsid w:val="00053AC1"/>
    <w:rsid w:val="00055A5F"/>
    <w:rsid w:val="00055EEE"/>
    <w:rsid w:val="00056B3E"/>
    <w:rsid w:val="00087AD7"/>
    <w:rsid w:val="00090151"/>
    <w:rsid w:val="000905B4"/>
    <w:rsid w:val="00091B05"/>
    <w:rsid w:val="000A33CA"/>
    <w:rsid w:val="000B47F6"/>
    <w:rsid w:val="000C1E67"/>
    <w:rsid w:val="000C2122"/>
    <w:rsid w:val="000C28D7"/>
    <w:rsid w:val="000C391E"/>
    <w:rsid w:val="000C487B"/>
    <w:rsid w:val="000D704A"/>
    <w:rsid w:val="001076F5"/>
    <w:rsid w:val="00112D71"/>
    <w:rsid w:val="00114E8A"/>
    <w:rsid w:val="00126B18"/>
    <w:rsid w:val="0013722E"/>
    <w:rsid w:val="001415F2"/>
    <w:rsid w:val="001479BF"/>
    <w:rsid w:val="00165731"/>
    <w:rsid w:val="001664D5"/>
    <w:rsid w:val="00174AB2"/>
    <w:rsid w:val="0018068E"/>
    <w:rsid w:val="00180758"/>
    <w:rsid w:val="001942A1"/>
    <w:rsid w:val="00196760"/>
    <w:rsid w:val="001A273F"/>
    <w:rsid w:val="001C4703"/>
    <w:rsid w:val="001C4B7C"/>
    <w:rsid w:val="001C6AEF"/>
    <w:rsid w:val="001E0353"/>
    <w:rsid w:val="001E2323"/>
    <w:rsid w:val="001E5B73"/>
    <w:rsid w:val="001E5CA0"/>
    <w:rsid w:val="001F6884"/>
    <w:rsid w:val="001F6CA9"/>
    <w:rsid w:val="002039F1"/>
    <w:rsid w:val="0022206D"/>
    <w:rsid w:val="0022639D"/>
    <w:rsid w:val="00232276"/>
    <w:rsid w:val="0023406E"/>
    <w:rsid w:val="00244FCA"/>
    <w:rsid w:val="002452D4"/>
    <w:rsid w:val="00247758"/>
    <w:rsid w:val="00255A7E"/>
    <w:rsid w:val="00256393"/>
    <w:rsid w:val="00270FD2"/>
    <w:rsid w:val="00274C04"/>
    <w:rsid w:val="002822A7"/>
    <w:rsid w:val="002B11D4"/>
    <w:rsid w:val="002B2053"/>
    <w:rsid w:val="002B71A5"/>
    <w:rsid w:val="002C2A1C"/>
    <w:rsid w:val="002C43AE"/>
    <w:rsid w:val="002C59DB"/>
    <w:rsid w:val="002D0879"/>
    <w:rsid w:val="00302C0D"/>
    <w:rsid w:val="0030770F"/>
    <w:rsid w:val="003120E7"/>
    <w:rsid w:val="003125E8"/>
    <w:rsid w:val="003164E5"/>
    <w:rsid w:val="00332BEF"/>
    <w:rsid w:val="003608F3"/>
    <w:rsid w:val="00370853"/>
    <w:rsid w:val="00376C2C"/>
    <w:rsid w:val="00381972"/>
    <w:rsid w:val="003A0BF0"/>
    <w:rsid w:val="003A4512"/>
    <w:rsid w:val="003B15DE"/>
    <w:rsid w:val="003D1893"/>
    <w:rsid w:val="003D554A"/>
    <w:rsid w:val="003D6C29"/>
    <w:rsid w:val="003F0B36"/>
    <w:rsid w:val="003F14DA"/>
    <w:rsid w:val="003F2BF9"/>
    <w:rsid w:val="003F3083"/>
    <w:rsid w:val="003F7CF3"/>
    <w:rsid w:val="004168E6"/>
    <w:rsid w:val="0042320C"/>
    <w:rsid w:val="004318A1"/>
    <w:rsid w:val="0043244E"/>
    <w:rsid w:val="004345C9"/>
    <w:rsid w:val="0043716A"/>
    <w:rsid w:val="004421D6"/>
    <w:rsid w:val="0044239D"/>
    <w:rsid w:val="00442519"/>
    <w:rsid w:val="00442686"/>
    <w:rsid w:val="004430F5"/>
    <w:rsid w:val="00445B8C"/>
    <w:rsid w:val="0044681B"/>
    <w:rsid w:val="00457473"/>
    <w:rsid w:val="00476BAE"/>
    <w:rsid w:val="00485E5C"/>
    <w:rsid w:val="0049377B"/>
    <w:rsid w:val="00497B0B"/>
    <w:rsid w:val="004A3B41"/>
    <w:rsid w:val="004A562D"/>
    <w:rsid w:val="004B17BD"/>
    <w:rsid w:val="004B6816"/>
    <w:rsid w:val="004B7417"/>
    <w:rsid w:val="004E1BE4"/>
    <w:rsid w:val="00510029"/>
    <w:rsid w:val="00510659"/>
    <w:rsid w:val="005130FF"/>
    <w:rsid w:val="0051427C"/>
    <w:rsid w:val="00514892"/>
    <w:rsid w:val="00514E0F"/>
    <w:rsid w:val="005154BB"/>
    <w:rsid w:val="0051777A"/>
    <w:rsid w:val="00520C21"/>
    <w:rsid w:val="00535A1F"/>
    <w:rsid w:val="00540FED"/>
    <w:rsid w:val="005466D6"/>
    <w:rsid w:val="00546DE1"/>
    <w:rsid w:val="00547F2C"/>
    <w:rsid w:val="00553D75"/>
    <w:rsid w:val="0055488C"/>
    <w:rsid w:val="005552EF"/>
    <w:rsid w:val="005576EB"/>
    <w:rsid w:val="00562FE1"/>
    <w:rsid w:val="005670A9"/>
    <w:rsid w:val="005772BC"/>
    <w:rsid w:val="00582D84"/>
    <w:rsid w:val="005865FC"/>
    <w:rsid w:val="00590F78"/>
    <w:rsid w:val="005928C9"/>
    <w:rsid w:val="00593F17"/>
    <w:rsid w:val="005C5959"/>
    <w:rsid w:val="005E1759"/>
    <w:rsid w:val="005E71CF"/>
    <w:rsid w:val="0062215D"/>
    <w:rsid w:val="006251D2"/>
    <w:rsid w:val="00633393"/>
    <w:rsid w:val="00641885"/>
    <w:rsid w:val="00650236"/>
    <w:rsid w:val="0065402A"/>
    <w:rsid w:val="00656184"/>
    <w:rsid w:val="00661C65"/>
    <w:rsid w:val="00691582"/>
    <w:rsid w:val="00695594"/>
    <w:rsid w:val="0069694A"/>
    <w:rsid w:val="00697C4B"/>
    <w:rsid w:val="006B38AE"/>
    <w:rsid w:val="006C00AB"/>
    <w:rsid w:val="006C1D2E"/>
    <w:rsid w:val="006D41B7"/>
    <w:rsid w:val="006D5B24"/>
    <w:rsid w:val="006E2036"/>
    <w:rsid w:val="006E3C0E"/>
    <w:rsid w:val="006F4573"/>
    <w:rsid w:val="006F4A64"/>
    <w:rsid w:val="006F4C64"/>
    <w:rsid w:val="006F51AD"/>
    <w:rsid w:val="0070340C"/>
    <w:rsid w:val="00712111"/>
    <w:rsid w:val="007201D7"/>
    <w:rsid w:val="0072506F"/>
    <w:rsid w:val="00727468"/>
    <w:rsid w:val="00730351"/>
    <w:rsid w:val="00730EAC"/>
    <w:rsid w:val="0073355F"/>
    <w:rsid w:val="007453D4"/>
    <w:rsid w:val="0075369C"/>
    <w:rsid w:val="00763281"/>
    <w:rsid w:val="0076466F"/>
    <w:rsid w:val="00776373"/>
    <w:rsid w:val="007874C0"/>
    <w:rsid w:val="00791273"/>
    <w:rsid w:val="007923A5"/>
    <w:rsid w:val="007A3365"/>
    <w:rsid w:val="007B06B7"/>
    <w:rsid w:val="007B5A2D"/>
    <w:rsid w:val="007C18C7"/>
    <w:rsid w:val="007C5334"/>
    <w:rsid w:val="007C6BD6"/>
    <w:rsid w:val="007C748E"/>
    <w:rsid w:val="007D2BDD"/>
    <w:rsid w:val="007F1AC2"/>
    <w:rsid w:val="00807545"/>
    <w:rsid w:val="00821C25"/>
    <w:rsid w:val="00823F1F"/>
    <w:rsid w:val="00825C53"/>
    <w:rsid w:val="00831B8D"/>
    <w:rsid w:val="00834CE5"/>
    <w:rsid w:val="008416B1"/>
    <w:rsid w:val="008452A9"/>
    <w:rsid w:val="0084696D"/>
    <w:rsid w:val="008575D7"/>
    <w:rsid w:val="00860C0C"/>
    <w:rsid w:val="00873AC8"/>
    <w:rsid w:val="0087427D"/>
    <w:rsid w:val="00884892"/>
    <w:rsid w:val="0089364D"/>
    <w:rsid w:val="00897294"/>
    <w:rsid w:val="008A2219"/>
    <w:rsid w:val="008A534E"/>
    <w:rsid w:val="008B1596"/>
    <w:rsid w:val="008B69F1"/>
    <w:rsid w:val="008C16FB"/>
    <w:rsid w:val="008C4654"/>
    <w:rsid w:val="008C7786"/>
    <w:rsid w:val="008D10B3"/>
    <w:rsid w:val="008E0396"/>
    <w:rsid w:val="008E0669"/>
    <w:rsid w:val="008E2FF6"/>
    <w:rsid w:val="008F2B74"/>
    <w:rsid w:val="008F2CB9"/>
    <w:rsid w:val="00903644"/>
    <w:rsid w:val="009077F9"/>
    <w:rsid w:val="009155D2"/>
    <w:rsid w:val="00932846"/>
    <w:rsid w:val="00936703"/>
    <w:rsid w:val="00937EB8"/>
    <w:rsid w:val="009702A1"/>
    <w:rsid w:val="00977FD1"/>
    <w:rsid w:val="0098008C"/>
    <w:rsid w:val="00982203"/>
    <w:rsid w:val="009902C4"/>
    <w:rsid w:val="00992CB6"/>
    <w:rsid w:val="009A2998"/>
    <w:rsid w:val="009B2688"/>
    <w:rsid w:val="009B2B45"/>
    <w:rsid w:val="009C4D8B"/>
    <w:rsid w:val="009C4E1F"/>
    <w:rsid w:val="009D3981"/>
    <w:rsid w:val="009E4CA5"/>
    <w:rsid w:val="00A052AB"/>
    <w:rsid w:val="00A107B7"/>
    <w:rsid w:val="00A13D36"/>
    <w:rsid w:val="00A23F87"/>
    <w:rsid w:val="00A35020"/>
    <w:rsid w:val="00A403EC"/>
    <w:rsid w:val="00A50964"/>
    <w:rsid w:val="00A6007C"/>
    <w:rsid w:val="00A6275E"/>
    <w:rsid w:val="00A725B1"/>
    <w:rsid w:val="00A72DCA"/>
    <w:rsid w:val="00A86EBF"/>
    <w:rsid w:val="00AA04F9"/>
    <w:rsid w:val="00AB2580"/>
    <w:rsid w:val="00AB392A"/>
    <w:rsid w:val="00AB3DB1"/>
    <w:rsid w:val="00AB46E7"/>
    <w:rsid w:val="00AC289E"/>
    <w:rsid w:val="00AC3C2B"/>
    <w:rsid w:val="00AD3294"/>
    <w:rsid w:val="00AD434E"/>
    <w:rsid w:val="00AE2F57"/>
    <w:rsid w:val="00AE6E21"/>
    <w:rsid w:val="00B0231B"/>
    <w:rsid w:val="00B0372C"/>
    <w:rsid w:val="00B07857"/>
    <w:rsid w:val="00B12F08"/>
    <w:rsid w:val="00B17FF4"/>
    <w:rsid w:val="00B24AEA"/>
    <w:rsid w:val="00B33E23"/>
    <w:rsid w:val="00B36D93"/>
    <w:rsid w:val="00B420F4"/>
    <w:rsid w:val="00B46407"/>
    <w:rsid w:val="00B5260F"/>
    <w:rsid w:val="00B55314"/>
    <w:rsid w:val="00B55B19"/>
    <w:rsid w:val="00B64F57"/>
    <w:rsid w:val="00B76D8D"/>
    <w:rsid w:val="00B825D4"/>
    <w:rsid w:val="00B94E42"/>
    <w:rsid w:val="00B97B80"/>
    <w:rsid w:val="00BA1FD7"/>
    <w:rsid w:val="00BA7010"/>
    <w:rsid w:val="00BB1F6A"/>
    <w:rsid w:val="00BB353F"/>
    <w:rsid w:val="00BB5038"/>
    <w:rsid w:val="00BB7C01"/>
    <w:rsid w:val="00BC449B"/>
    <w:rsid w:val="00BD7CB0"/>
    <w:rsid w:val="00BE0495"/>
    <w:rsid w:val="00BE06B5"/>
    <w:rsid w:val="00BF0557"/>
    <w:rsid w:val="00BF0F97"/>
    <w:rsid w:val="00BF3758"/>
    <w:rsid w:val="00BF47E7"/>
    <w:rsid w:val="00C018A4"/>
    <w:rsid w:val="00C10D6D"/>
    <w:rsid w:val="00C13D3A"/>
    <w:rsid w:val="00C156CC"/>
    <w:rsid w:val="00C162F3"/>
    <w:rsid w:val="00C2109D"/>
    <w:rsid w:val="00C22708"/>
    <w:rsid w:val="00C2314B"/>
    <w:rsid w:val="00C23513"/>
    <w:rsid w:val="00C251ED"/>
    <w:rsid w:val="00C32ED2"/>
    <w:rsid w:val="00C3393F"/>
    <w:rsid w:val="00C33E23"/>
    <w:rsid w:val="00C4151E"/>
    <w:rsid w:val="00C4782C"/>
    <w:rsid w:val="00C523F9"/>
    <w:rsid w:val="00C6034B"/>
    <w:rsid w:val="00C63F05"/>
    <w:rsid w:val="00C70AF5"/>
    <w:rsid w:val="00C82CB0"/>
    <w:rsid w:val="00C90577"/>
    <w:rsid w:val="00C91C28"/>
    <w:rsid w:val="00C93910"/>
    <w:rsid w:val="00C954E2"/>
    <w:rsid w:val="00CA015A"/>
    <w:rsid w:val="00CA3319"/>
    <w:rsid w:val="00CB1C79"/>
    <w:rsid w:val="00CB3CD5"/>
    <w:rsid w:val="00CB73BA"/>
    <w:rsid w:val="00CC543F"/>
    <w:rsid w:val="00CE015C"/>
    <w:rsid w:val="00CF2035"/>
    <w:rsid w:val="00D00033"/>
    <w:rsid w:val="00D0325B"/>
    <w:rsid w:val="00D05556"/>
    <w:rsid w:val="00D140A9"/>
    <w:rsid w:val="00D21C38"/>
    <w:rsid w:val="00D31EFB"/>
    <w:rsid w:val="00D44C8C"/>
    <w:rsid w:val="00D46A9E"/>
    <w:rsid w:val="00D50503"/>
    <w:rsid w:val="00D52DEC"/>
    <w:rsid w:val="00D619DE"/>
    <w:rsid w:val="00D71826"/>
    <w:rsid w:val="00D72EBD"/>
    <w:rsid w:val="00D736F6"/>
    <w:rsid w:val="00D73856"/>
    <w:rsid w:val="00D76881"/>
    <w:rsid w:val="00D76E38"/>
    <w:rsid w:val="00D83132"/>
    <w:rsid w:val="00D84B70"/>
    <w:rsid w:val="00D901BB"/>
    <w:rsid w:val="00D904BC"/>
    <w:rsid w:val="00D9063D"/>
    <w:rsid w:val="00DA4DEE"/>
    <w:rsid w:val="00DA7D88"/>
    <w:rsid w:val="00DB0228"/>
    <w:rsid w:val="00DB30F3"/>
    <w:rsid w:val="00DB3ADC"/>
    <w:rsid w:val="00DC6262"/>
    <w:rsid w:val="00DE6BEA"/>
    <w:rsid w:val="00DE788C"/>
    <w:rsid w:val="00E04094"/>
    <w:rsid w:val="00E14EE4"/>
    <w:rsid w:val="00E14F0D"/>
    <w:rsid w:val="00E22EE3"/>
    <w:rsid w:val="00E235B7"/>
    <w:rsid w:val="00E26AB0"/>
    <w:rsid w:val="00E35524"/>
    <w:rsid w:val="00E35557"/>
    <w:rsid w:val="00E464CB"/>
    <w:rsid w:val="00E517DF"/>
    <w:rsid w:val="00E5698A"/>
    <w:rsid w:val="00E70B66"/>
    <w:rsid w:val="00E7527B"/>
    <w:rsid w:val="00EA612C"/>
    <w:rsid w:val="00EB456B"/>
    <w:rsid w:val="00EB50ED"/>
    <w:rsid w:val="00EC3FA4"/>
    <w:rsid w:val="00EC6F18"/>
    <w:rsid w:val="00ED4EA4"/>
    <w:rsid w:val="00ED5BD8"/>
    <w:rsid w:val="00EE0299"/>
    <w:rsid w:val="00EE5D38"/>
    <w:rsid w:val="00EF2FDE"/>
    <w:rsid w:val="00EF3C9A"/>
    <w:rsid w:val="00F13E7D"/>
    <w:rsid w:val="00F14A08"/>
    <w:rsid w:val="00F17BAB"/>
    <w:rsid w:val="00F274DB"/>
    <w:rsid w:val="00F37691"/>
    <w:rsid w:val="00F42B57"/>
    <w:rsid w:val="00F51566"/>
    <w:rsid w:val="00F51861"/>
    <w:rsid w:val="00F615CC"/>
    <w:rsid w:val="00F63177"/>
    <w:rsid w:val="00F64691"/>
    <w:rsid w:val="00F669A4"/>
    <w:rsid w:val="00F67E78"/>
    <w:rsid w:val="00F70B85"/>
    <w:rsid w:val="00F73584"/>
    <w:rsid w:val="00F84EEA"/>
    <w:rsid w:val="00F91872"/>
    <w:rsid w:val="00F95D92"/>
    <w:rsid w:val="00F969EA"/>
    <w:rsid w:val="00FA046B"/>
    <w:rsid w:val="00FA13EE"/>
    <w:rsid w:val="00FB3AD1"/>
    <w:rsid w:val="00FC1B9E"/>
    <w:rsid w:val="00FC335B"/>
    <w:rsid w:val="00FD268D"/>
    <w:rsid w:val="00FD44DD"/>
    <w:rsid w:val="00FD5C34"/>
    <w:rsid w:val="00FE09F5"/>
    <w:rsid w:val="00FE0F3A"/>
    <w:rsid w:val="00FE45E0"/>
    <w:rsid w:val="00FE6B14"/>
    <w:rsid w:val="00FF34F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9579B983-46C4-4304-B14A-A1FD57F31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kern w:val="2"/>
      <w:sz w:val="21"/>
      <w:szCs w:val="24"/>
      <w:lang w:eastAsia="zh-CN"/>
    </w:rPr>
  </w:style>
  <w:style w:type="paragraph" w:styleId="Heading1">
    <w:name w:val="heading 1"/>
    <w:next w:val="Normal"/>
    <w:qFormat/>
    <w:rsid w:val="00C63F05"/>
    <w:pPr>
      <w:keepNext/>
      <w:keepLines/>
      <w:numPr>
        <w:numId w:val="9"/>
      </w:numPr>
      <w:pBdr>
        <w:top w:val="single" w:sz="12" w:space="3" w:color="auto"/>
      </w:pBdr>
      <w:spacing w:before="240" w:after="180"/>
      <w:outlineLvl w:val="0"/>
    </w:pPr>
    <w:rPr>
      <w:rFonts w:ascii="Arial" w:hAnsi="Arial"/>
      <w:sz w:val="36"/>
      <w:lang w:val="en-GB"/>
    </w:rPr>
  </w:style>
  <w:style w:type="paragraph" w:styleId="Heading2">
    <w:name w:val="heading 2"/>
    <w:basedOn w:val="Normal"/>
    <w:next w:val="Normal"/>
    <w:qFormat/>
    <w:rsid w:val="000C487B"/>
    <w:pPr>
      <w:keepNext/>
      <w:numPr>
        <w:ilvl w:val="1"/>
        <w:numId w:val="9"/>
      </w:numPr>
      <w:spacing w:before="240" w:after="60"/>
      <w:outlineLvl w:val="1"/>
    </w:pPr>
    <w:rPr>
      <w:rFonts w:ascii="Arial" w:hAnsi="Arial" w:cs="Arial"/>
      <w:b/>
      <w:bCs/>
      <w:i/>
      <w:iCs/>
      <w:sz w:val="28"/>
      <w:szCs w:val="21"/>
    </w:rPr>
  </w:style>
  <w:style w:type="paragraph" w:styleId="Heading3">
    <w:name w:val="heading 3"/>
    <w:basedOn w:val="Normal"/>
    <w:next w:val="Normal"/>
    <w:qFormat/>
    <w:rsid w:val="00CB73BA"/>
    <w:pPr>
      <w:keepNext/>
      <w:numPr>
        <w:ilvl w:val="2"/>
        <w:numId w:val="9"/>
      </w:numPr>
      <w:spacing w:before="240" w:after="60"/>
      <w:outlineLvl w:val="2"/>
    </w:pPr>
    <w:rPr>
      <w:rFonts w:ascii="Arial" w:hAnsi="Arial" w:cs="Arial"/>
      <w:b/>
      <w:bCs/>
      <w:sz w:val="26"/>
      <w:szCs w:val="26"/>
    </w:rPr>
  </w:style>
  <w:style w:type="paragraph" w:styleId="Heading4">
    <w:name w:val="heading 4"/>
    <w:basedOn w:val="Normal"/>
    <w:next w:val="Normal"/>
    <w:qFormat/>
    <w:rsid w:val="00514892"/>
    <w:pPr>
      <w:keepNext/>
      <w:numPr>
        <w:ilvl w:val="3"/>
        <w:numId w:val="9"/>
      </w:numPr>
      <w:spacing w:before="240" w:after="60"/>
      <w:outlineLvl w:val="3"/>
    </w:pPr>
    <w:rPr>
      <w:b/>
      <w:bCs/>
      <w:sz w:val="28"/>
      <w:szCs w:val="28"/>
    </w:rPr>
  </w:style>
  <w:style w:type="paragraph" w:styleId="Heading5">
    <w:name w:val="heading 5"/>
    <w:basedOn w:val="Normal"/>
    <w:next w:val="Normal"/>
    <w:qFormat/>
    <w:rsid w:val="00514892"/>
    <w:pPr>
      <w:numPr>
        <w:ilvl w:val="4"/>
        <w:numId w:val="9"/>
      </w:numPr>
      <w:spacing w:before="240" w:after="60"/>
      <w:outlineLvl w:val="4"/>
    </w:pPr>
    <w:rPr>
      <w:b/>
      <w:bCs/>
      <w:i/>
      <w:iCs/>
      <w:sz w:val="26"/>
      <w:szCs w:val="26"/>
    </w:rPr>
  </w:style>
  <w:style w:type="paragraph" w:styleId="Heading6">
    <w:name w:val="heading 6"/>
    <w:basedOn w:val="Normal"/>
    <w:next w:val="Normal"/>
    <w:qFormat/>
    <w:rsid w:val="00514892"/>
    <w:pPr>
      <w:numPr>
        <w:ilvl w:val="5"/>
        <w:numId w:val="9"/>
      </w:numPr>
      <w:spacing w:before="240" w:after="60"/>
      <w:outlineLvl w:val="5"/>
    </w:pPr>
    <w:rPr>
      <w:b/>
      <w:bCs/>
      <w:sz w:val="22"/>
      <w:szCs w:val="22"/>
    </w:rPr>
  </w:style>
  <w:style w:type="paragraph" w:styleId="Heading7">
    <w:name w:val="heading 7"/>
    <w:basedOn w:val="Normal"/>
    <w:next w:val="Normal"/>
    <w:qFormat/>
    <w:rsid w:val="00514892"/>
    <w:pPr>
      <w:numPr>
        <w:ilvl w:val="6"/>
        <w:numId w:val="9"/>
      </w:numPr>
      <w:spacing w:before="240" w:after="60"/>
      <w:outlineLvl w:val="6"/>
    </w:pPr>
    <w:rPr>
      <w:sz w:val="24"/>
    </w:rPr>
  </w:style>
  <w:style w:type="paragraph" w:styleId="Heading8">
    <w:name w:val="heading 8"/>
    <w:basedOn w:val="Normal"/>
    <w:next w:val="Normal"/>
    <w:qFormat/>
    <w:rsid w:val="00514892"/>
    <w:pPr>
      <w:numPr>
        <w:ilvl w:val="7"/>
        <w:numId w:val="9"/>
      </w:numPr>
      <w:spacing w:before="240" w:after="60"/>
      <w:outlineLvl w:val="7"/>
    </w:pPr>
    <w:rPr>
      <w:i/>
      <w:iCs/>
      <w:sz w:val="24"/>
    </w:rPr>
  </w:style>
  <w:style w:type="paragraph" w:styleId="Heading9">
    <w:name w:val="heading 9"/>
    <w:basedOn w:val="Normal"/>
    <w:next w:val="Normal"/>
    <w:qFormat/>
    <w:rsid w:val="00514892"/>
    <w:pPr>
      <w:numPr>
        <w:ilvl w:val="8"/>
        <w:numId w:val="9"/>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WP">
    <w:name w:val="WP"/>
    <w:basedOn w:val="Normal"/>
    <w:rsid w:val="00E235B7"/>
    <w:pPr>
      <w:widowControl/>
      <w:pBdr>
        <w:bottom w:val="single" w:sz="4" w:space="5" w:color="auto"/>
      </w:pBdr>
      <w:overflowPunct w:val="0"/>
      <w:autoSpaceDE w:val="0"/>
      <w:autoSpaceDN w:val="0"/>
      <w:adjustRightInd w:val="0"/>
      <w:textAlignment w:val="baseline"/>
    </w:pPr>
    <w:rPr>
      <w:rFonts w:ascii="Arial" w:eastAsia="Times New Roman" w:hAnsi="Arial" w:cs="Arial"/>
      <w:kern w:val="0"/>
      <w:sz w:val="20"/>
      <w:szCs w:val="20"/>
      <w:lang w:val="en-GB" w:eastAsia="en-US"/>
    </w:rPr>
  </w:style>
  <w:style w:type="paragraph" w:customStyle="1" w:styleId="Tdocheading">
    <w:name w:val="Tdoc heading"/>
    <w:basedOn w:val="Normal"/>
    <w:rsid w:val="00C63F05"/>
    <w:pPr>
      <w:widowControl/>
      <w:spacing w:after="240"/>
      <w:jc w:val="left"/>
    </w:pPr>
    <w:rPr>
      <w:rFonts w:ascii="Arial" w:hAnsi="Arial" w:cs="Arial"/>
      <w:b/>
      <w:kern w:val="0"/>
      <w:sz w:val="22"/>
      <w:lang w:eastAsia="en-US"/>
    </w:rPr>
  </w:style>
  <w:style w:type="paragraph" w:customStyle="1" w:styleId="ZT">
    <w:name w:val="ZT"/>
    <w:rsid w:val="000C1E67"/>
    <w:pPr>
      <w:framePr w:wrap="notBeside" w:hAnchor="margin" w:yAlign="center"/>
      <w:widowControl w:val="0"/>
      <w:spacing w:line="240" w:lineRule="atLeast"/>
      <w:jc w:val="right"/>
    </w:pPr>
    <w:rPr>
      <w:rFonts w:ascii="Arial" w:hAnsi="Arial"/>
      <w:b/>
      <w:sz w:val="34"/>
      <w:lang w:val="en-GB"/>
    </w:rPr>
  </w:style>
  <w:style w:type="paragraph" w:styleId="DocumentMap">
    <w:name w:val="Document Map"/>
    <w:basedOn w:val="Normal"/>
    <w:semiHidden/>
    <w:rsid w:val="00FD44DD"/>
    <w:pPr>
      <w:shd w:val="clear" w:color="auto" w:fill="000080"/>
    </w:pPr>
  </w:style>
  <w:style w:type="paragraph" w:styleId="BodyText">
    <w:name w:val="Body Text"/>
    <w:basedOn w:val="Normal"/>
    <w:rsid w:val="00CB73BA"/>
    <w:pPr>
      <w:spacing w:after="120"/>
    </w:pPr>
  </w:style>
  <w:style w:type="table" w:styleId="TableGrid">
    <w:name w:val="Table Grid"/>
    <w:basedOn w:val="TableNormal"/>
    <w:uiPriority w:val="59"/>
    <w:rsid w:val="009155D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
    <w:basedOn w:val="Normal"/>
    <w:next w:val="Normal"/>
    <w:uiPriority w:val="35"/>
    <w:qFormat/>
    <w:rsid w:val="00D0325B"/>
    <w:rPr>
      <w:b/>
      <w:bCs/>
      <w:sz w:val="20"/>
      <w:szCs w:val="20"/>
    </w:rPr>
  </w:style>
  <w:style w:type="table" w:styleId="TableGrid3">
    <w:name w:val="Table Grid 3"/>
    <w:basedOn w:val="TableNormal"/>
    <w:rsid w:val="00AE6E21"/>
    <w:pPr>
      <w:overflowPunct w:val="0"/>
      <w:autoSpaceDE w:val="0"/>
      <w:autoSpaceDN w:val="0"/>
      <w:adjustRightInd w:val="0"/>
      <w:spacing w:after="180"/>
      <w:textAlignment w:val="baseline"/>
    </w:pPr>
    <w:rPr>
      <w:rFonts w:ascii="CG Times (WN)" w:eastAsia="Batang"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styleId="Header">
    <w:name w:val="header"/>
    <w:basedOn w:val="Normal"/>
    <w:rsid w:val="00032304"/>
    <w:pPr>
      <w:tabs>
        <w:tab w:val="center" w:pos="4153"/>
        <w:tab w:val="right" w:pos="8306"/>
      </w:tabs>
    </w:pPr>
  </w:style>
  <w:style w:type="paragraph" w:styleId="Footer">
    <w:name w:val="footer"/>
    <w:basedOn w:val="Normal"/>
    <w:rsid w:val="00032304"/>
    <w:pPr>
      <w:tabs>
        <w:tab w:val="center" w:pos="4153"/>
        <w:tab w:val="right" w:pos="8306"/>
      </w:tabs>
    </w:pPr>
  </w:style>
  <w:style w:type="paragraph" w:customStyle="1" w:styleId="StyleHeading1TimesNewRoman">
    <w:name w:val="Style Heading 1 + Times New Roman"/>
    <w:basedOn w:val="Heading1"/>
    <w:rsid w:val="00247758"/>
    <w:rPr>
      <w:rFonts w:ascii="Times New Roman" w:hAnsi="Times New Roman"/>
    </w:rPr>
  </w:style>
  <w:style w:type="paragraph" w:customStyle="1" w:styleId="tdocheading0">
    <w:name w:val="tdocheading"/>
    <w:basedOn w:val="Normal"/>
    <w:rsid w:val="000905B4"/>
    <w:pPr>
      <w:widowControl/>
      <w:spacing w:before="100" w:beforeAutospacing="1" w:after="100" w:afterAutospacing="1"/>
      <w:jc w:val="left"/>
    </w:pPr>
    <w:rPr>
      <w:kern w:val="0"/>
      <w:sz w:val="24"/>
      <w:lang w:val="en-GB"/>
    </w:rPr>
  </w:style>
  <w:style w:type="paragraph" w:customStyle="1" w:styleId="PL">
    <w:name w:val="PL"/>
    <w:rsid w:val="00090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styleId="PageNumber">
    <w:name w:val="page number"/>
    <w:basedOn w:val="DefaultParagraphFont"/>
    <w:rsid w:val="00C91C28"/>
  </w:style>
  <w:style w:type="paragraph" w:customStyle="1" w:styleId="TAL">
    <w:name w:val="TAL"/>
    <w:basedOn w:val="Normal"/>
    <w:link w:val="TALChar"/>
    <w:rsid w:val="005552EF"/>
    <w:pPr>
      <w:keepNext/>
      <w:keepLines/>
      <w:widowControl/>
      <w:overflowPunct w:val="0"/>
      <w:autoSpaceDE w:val="0"/>
      <w:autoSpaceDN w:val="0"/>
      <w:adjustRightInd w:val="0"/>
      <w:jc w:val="left"/>
      <w:textAlignment w:val="baseline"/>
    </w:pPr>
    <w:rPr>
      <w:rFonts w:ascii="Arial" w:eastAsia="Times New Roman" w:hAnsi="Arial"/>
      <w:kern w:val="0"/>
      <w:sz w:val="18"/>
      <w:szCs w:val="20"/>
      <w:lang w:val="en-GB" w:eastAsia="en-US"/>
    </w:rPr>
  </w:style>
  <w:style w:type="character" w:customStyle="1" w:styleId="TALChar">
    <w:name w:val="TAL Char"/>
    <w:link w:val="TAL"/>
    <w:rsid w:val="005552EF"/>
    <w:rPr>
      <w:rFonts w:ascii="Arial" w:hAnsi="Arial"/>
      <w:sz w:val="18"/>
      <w:lang w:val="en-GB" w:eastAsia="en-US" w:bidi="ar-SA"/>
    </w:rPr>
  </w:style>
  <w:style w:type="character" w:customStyle="1" w:styleId="StyleLatinBodyCalibri11pt">
    <w:name w:val="Style (Latin) +Body (Calibri) 11 pt"/>
    <w:qFormat/>
    <w:rsid w:val="00114E8A"/>
    <w:rPr>
      <w:rFonts w:ascii="Calibri" w:eastAsia="SimSun" w:hAnsi="Calibri" w:cs="Arial"/>
      <w:color w:val="auto"/>
      <w:kern w:val="0"/>
      <w:sz w:val="22"/>
      <w:lang w:val="en-US" w:eastAsia="zh-CN" w:bidi="ar-SA"/>
    </w:rPr>
  </w:style>
  <w:style w:type="paragraph" w:styleId="ListParagraph">
    <w:name w:val="List Paragraph"/>
    <w:basedOn w:val="Normal"/>
    <w:uiPriority w:val="34"/>
    <w:qFormat/>
    <w:rsid w:val="00114E8A"/>
    <w:pPr>
      <w:widowControl/>
      <w:spacing w:after="200" w:line="276" w:lineRule="auto"/>
      <w:ind w:left="720"/>
      <w:contextualSpacing/>
      <w:jc w:val="left"/>
    </w:pPr>
    <w:rPr>
      <w:rFonts w:ascii="Calibri" w:eastAsia="Calibri" w:hAnsi="Calibri"/>
      <w:kern w:val="0"/>
      <w:sz w:val="22"/>
      <w:szCs w:val="22"/>
      <w:lang w:eastAsia="en-US"/>
    </w:rPr>
  </w:style>
  <w:style w:type="paragraph" w:styleId="BalloonText">
    <w:name w:val="Balloon Text"/>
    <w:basedOn w:val="Normal"/>
    <w:link w:val="BalloonTextChar"/>
    <w:rsid w:val="00E26AB0"/>
    <w:rPr>
      <w:rFonts w:ascii="Segoe UI" w:hAnsi="Segoe UI" w:cs="Segoe UI"/>
      <w:sz w:val="18"/>
      <w:szCs w:val="18"/>
    </w:rPr>
  </w:style>
  <w:style w:type="character" w:customStyle="1" w:styleId="BalloonTextChar">
    <w:name w:val="Balloon Text Char"/>
    <w:link w:val="BalloonText"/>
    <w:rsid w:val="00E26AB0"/>
    <w:rPr>
      <w:rFonts w:ascii="Segoe UI" w:hAnsi="Segoe UI" w:cs="Segoe UI"/>
      <w:kern w:val="2"/>
      <w:sz w:val="18"/>
      <w:szCs w:val="18"/>
      <w:lang w:val="en-US" w:eastAsia="zh-CN"/>
    </w:rPr>
  </w:style>
  <w:style w:type="character" w:styleId="PlaceholderText">
    <w:name w:val="Placeholder Text"/>
    <w:basedOn w:val="DefaultParagraphFont"/>
    <w:uiPriority w:val="99"/>
    <w:semiHidden/>
    <w:rsid w:val="00D21C3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210312">
      <w:bodyDiv w:val="1"/>
      <w:marLeft w:val="0"/>
      <w:marRight w:val="0"/>
      <w:marTop w:val="0"/>
      <w:marBottom w:val="0"/>
      <w:divBdr>
        <w:top w:val="none" w:sz="0" w:space="0" w:color="auto"/>
        <w:left w:val="none" w:sz="0" w:space="0" w:color="auto"/>
        <w:bottom w:val="none" w:sz="0" w:space="0" w:color="auto"/>
        <w:right w:val="none" w:sz="0" w:space="0" w:color="auto"/>
      </w:divBdr>
      <w:divsChild>
        <w:div w:id="14696139">
          <w:marLeft w:val="0"/>
          <w:marRight w:val="0"/>
          <w:marTop w:val="0"/>
          <w:marBottom w:val="0"/>
          <w:divBdr>
            <w:top w:val="none" w:sz="0" w:space="0" w:color="auto"/>
            <w:left w:val="none" w:sz="0" w:space="0" w:color="auto"/>
            <w:bottom w:val="none" w:sz="0" w:space="0" w:color="auto"/>
            <w:right w:val="none" w:sz="0" w:space="0" w:color="auto"/>
          </w:divBdr>
        </w:div>
      </w:divsChild>
    </w:div>
    <w:div w:id="382337270">
      <w:bodyDiv w:val="1"/>
      <w:marLeft w:val="0"/>
      <w:marRight w:val="0"/>
      <w:marTop w:val="0"/>
      <w:marBottom w:val="0"/>
      <w:divBdr>
        <w:top w:val="none" w:sz="0" w:space="0" w:color="auto"/>
        <w:left w:val="none" w:sz="0" w:space="0" w:color="auto"/>
        <w:bottom w:val="none" w:sz="0" w:space="0" w:color="auto"/>
        <w:right w:val="none" w:sz="0" w:space="0" w:color="auto"/>
      </w:divBdr>
      <w:divsChild>
        <w:div w:id="1031145663">
          <w:marLeft w:val="0"/>
          <w:marRight w:val="0"/>
          <w:marTop w:val="0"/>
          <w:marBottom w:val="0"/>
          <w:divBdr>
            <w:top w:val="none" w:sz="0" w:space="0" w:color="auto"/>
            <w:left w:val="none" w:sz="0" w:space="0" w:color="auto"/>
            <w:bottom w:val="none" w:sz="0" w:space="0" w:color="auto"/>
            <w:right w:val="none" w:sz="0" w:space="0" w:color="auto"/>
          </w:divBdr>
        </w:div>
      </w:divsChild>
    </w:div>
    <w:div w:id="638145306">
      <w:bodyDiv w:val="1"/>
      <w:marLeft w:val="0"/>
      <w:marRight w:val="0"/>
      <w:marTop w:val="0"/>
      <w:marBottom w:val="0"/>
      <w:divBdr>
        <w:top w:val="none" w:sz="0" w:space="0" w:color="auto"/>
        <w:left w:val="none" w:sz="0" w:space="0" w:color="auto"/>
        <w:bottom w:val="none" w:sz="0" w:space="0" w:color="auto"/>
        <w:right w:val="none" w:sz="0" w:space="0" w:color="auto"/>
      </w:divBdr>
      <w:divsChild>
        <w:div w:id="1094715310">
          <w:marLeft w:val="0"/>
          <w:marRight w:val="0"/>
          <w:marTop w:val="0"/>
          <w:marBottom w:val="0"/>
          <w:divBdr>
            <w:top w:val="none" w:sz="0" w:space="0" w:color="auto"/>
            <w:left w:val="none" w:sz="0" w:space="0" w:color="auto"/>
            <w:bottom w:val="none" w:sz="0" w:space="0" w:color="auto"/>
            <w:right w:val="none" w:sz="0" w:space="0" w:color="auto"/>
          </w:divBdr>
        </w:div>
      </w:divsChild>
    </w:div>
    <w:div w:id="784275966">
      <w:bodyDiv w:val="1"/>
      <w:marLeft w:val="0"/>
      <w:marRight w:val="0"/>
      <w:marTop w:val="0"/>
      <w:marBottom w:val="0"/>
      <w:divBdr>
        <w:top w:val="none" w:sz="0" w:space="0" w:color="auto"/>
        <w:left w:val="none" w:sz="0" w:space="0" w:color="auto"/>
        <w:bottom w:val="none" w:sz="0" w:space="0" w:color="auto"/>
        <w:right w:val="none" w:sz="0" w:space="0" w:color="auto"/>
      </w:divBdr>
      <w:divsChild>
        <w:div w:id="136338763">
          <w:marLeft w:val="0"/>
          <w:marRight w:val="0"/>
          <w:marTop w:val="0"/>
          <w:marBottom w:val="0"/>
          <w:divBdr>
            <w:top w:val="none" w:sz="0" w:space="0" w:color="auto"/>
            <w:left w:val="none" w:sz="0" w:space="0" w:color="auto"/>
            <w:bottom w:val="none" w:sz="0" w:space="0" w:color="auto"/>
            <w:right w:val="none" w:sz="0" w:space="0" w:color="auto"/>
          </w:divBdr>
        </w:div>
      </w:divsChild>
    </w:div>
    <w:div w:id="846210650">
      <w:bodyDiv w:val="1"/>
      <w:marLeft w:val="0"/>
      <w:marRight w:val="0"/>
      <w:marTop w:val="0"/>
      <w:marBottom w:val="0"/>
      <w:divBdr>
        <w:top w:val="none" w:sz="0" w:space="0" w:color="auto"/>
        <w:left w:val="none" w:sz="0" w:space="0" w:color="auto"/>
        <w:bottom w:val="none" w:sz="0" w:space="0" w:color="auto"/>
        <w:right w:val="none" w:sz="0" w:space="0" w:color="auto"/>
      </w:divBdr>
      <w:divsChild>
        <w:div w:id="257057336">
          <w:marLeft w:val="0"/>
          <w:marRight w:val="0"/>
          <w:marTop w:val="0"/>
          <w:marBottom w:val="0"/>
          <w:divBdr>
            <w:top w:val="none" w:sz="0" w:space="0" w:color="auto"/>
            <w:left w:val="none" w:sz="0" w:space="0" w:color="auto"/>
            <w:bottom w:val="none" w:sz="0" w:space="0" w:color="auto"/>
            <w:right w:val="none" w:sz="0" w:space="0" w:color="auto"/>
          </w:divBdr>
        </w:div>
      </w:divsChild>
    </w:div>
    <w:div w:id="858546523">
      <w:bodyDiv w:val="1"/>
      <w:marLeft w:val="0"/>
      <w:marRight w:val="0"/>
      <w:marTop w:val="0"/>
      <w:marBottom w:val="0"/>
      <w:divBdr>
        <w:top w:val="none" w:sz="0" w:space="0" w:color="auto"/>
        <w:left w:val="none" w:sz="0" w:space="0" w:color="auto"/>
        <w:bottom w:val="none" w:sz="0" w:space="0" w:color="auto"/>
        <w:right w:val="none" w:sz="0" w:space="0" w:color="auto"/>
      </w:divBdr>
      <w:divsChild>
        <w:div w:id="1858228054">
          <w:marLeft w:val="0"/>
          <w:marRight w:val="0"/>
          <w:marTop w:val="0"/>
          <w:marBottom w:val="0"/>
          <w:divBdr>
            <w:top w:val="none" w:sz="0" w:space="0" w:color="auto"/>
            <w:left w:val="none" w:sz="0" w:space="0" w:color="auto"/>
            <w:bottom w:val="none" w:sz="0" w:space="0" w:color="auto"/>
            <w:right w:val="none" w:sz="0" w:space="0" w:color="auto"/>
          </w:divBdr>
        </w:div>
      </w:divsChild>
    </w:div>
    <w:div w:id="884174619">
      <w:bodyDiv w:val="1"/>
      <w:marLeft w:val="0"/>
      <w:marRight w:val="0"/>
      <w:marTop w:val="0"/>
      <w:marBottom w:val="0"/>
      <w:divBdr>
        <w:top w:val="none" w:sz="0" w:space="0" w:color="auto"/>
        <w:left w:val="none" w:sz="0" w:space="0" w:color="auto"/>
        <w:bottom w:val="none" w:sz="0" w:space="0" w:color="auto"/>
        <w:right w:val="none" w:sz="0" w:space="0" w:color="auto"/>
      </w:divBdr>
      <w:divsChild>
        <w:div w:id="849569280">
          <w:marLeft w:val="0"/>
          <w:marRight w:val="0"/>
          <w:marTop w:val="0"/>
          <w:marBottom w:val="0"/>
          <w:divBdr>
            <w:top w:val="none" w:sz="0" w:space="0" w:color="auto"/>
            <w:left w:val="none" w:sz="0" w:space="0" w:color="auto"/>
            <w:bottom w:val="none" w:sz="0" w:space="0" w:color="auto"/>
            <w:right w:val="none" w:sz="0" w:space="0" w:color="auto"/>
          </w:divBdr>
        </w:div>
      </w:divsChild>
    </w:div>
    <w:div w:id="1030760125">
      <w:bodyDiv w:val="1"/>
      <w:marLeft w:val="0"/>
      <w:marRight w:val="0"/>
      <w:marTop w:val="0"/>
      <w:marBottom w:val="0"/>
      <w:divBdr>
        <w:top w:val="none" w:sz="0" w:space="0" w:color="auto"/>
        <w:left w:val="none" w:sz="0" w:space="0" w:color="auto"/>
        <w:bottom w:val="none" w:sz="0" w:space="0" w:color="auto"/>
        <w:right w:val="none" w:sz="0" w:space="0" w:color="auto"/>
      </w:divBdr>
      <w:divsChild>
        <w:div w:id="1899974506">
          <w:marLeft w:val="0"/>
          <w:marRight w:val="0"/>
          <w:marTop w:val="0"/>
          <w:marBottom w:val="0"/>
          <w:divBdr>
            <w:top w:val="none" w:sz="0" w:space="0" w:color="auto"/>
            <w:left w:val="none" w:sz="0" w:space="0" w:color="auto"/>
            <w:bottom w:val="none" w:sz="0" w:space="0" w:color="auto"/>
            <w:right w:val="none" w:sz="0" w:space="0" w:color="auto"/>
          </w:divBdr>
        </w:div>
      </w:divsChild>
    </w:div>
    <w:div w:id="1046366904">
      <w:bodyDiv w:val="1"/>
      <w:marLeft w:val="0"/>
      <w:marRight w:val="0"/>
      <w:marTop w:val="0"/>
      <w:marBottom w:val="0"/>
      <w:divBdr>
        <w:top w:val="none" w:sz="0" w:space="0" w:color="auto"/>
        <w:left w:val="none" w:sz="0" w:space="0" w:color="auto"/>
        <w:bottom w:val="none" w:sz="0" w:space="0" w:color="auto"/>
        <w:right w:val="none" w:sz="0" w:space="0" w:color="auto"/>
      </w:divBdr>
      <w:divsChild>
        <w:div w:id="169836107">
          <w:marLeft w:val="360"/>
          <w:marRight w:val="0"/>
          <w:marTop w:val="200"/>
          <w:marBottom w:val="0"/>
          <w:divBdr>
            <w:top w:val="none" w:sz="0" w:space="0" w:color="auto"/>
            <w:left w:val="none" w:sz="0" w:space="0" w:color="auto"/>
            <w:bottom w:val="none" w:sz="0" w:space="0" w:color="auto"/>
            <w:right w:val="none" w:sz="0" w:space="0" w:color="auto"/>
          </w:divBdr>
        </w:div>
        <w:div w:id="202055918">
          <w:marLeft w:val="360"/>
          <w:marRight w:val="0"/>
          <w:marTop w:val="200"/>
          <w:marBottom w:val="0"/>
          <w:divBdr>
            <w:top w:val="none" w:sz="0" w:space="0" w:color="auto"/>
            <w:left w:val="none" w:sz="0" w:space="0" w:color="auto"/>
            <w:bottom w:val="none" w:sz="0" w:space="0" w:color="auto"/>
            <w:right w:val="none" w:sz="0" w:space="0" w:color="auto"/>
          </w:divBdr>
        </w:div>
        <w:div w:id="355542924">
          <w:marLeft w:val="360"/>
          <w:marRight w:val="0"/>
          <w:marTop w:val="200"/>
          <w:marBottom w:val="0"/>
          <w:divBdr>
            <w:top w:val="none" w:sz="0" w:space="0" w:color="auto"/>
            <w:left w:val="none" w:sz="0" w:space="0" w:color="auto"/>
            <w:bottom w:val="none" w:sz="0" w:space="0" w:color="auto"/>
            <w:right w:val="none" w:sz="0" w:space="0" w:color="auto"/>
          </w:divBdr>
        </w:div>
        <w:div w:id="497964324">
          <w:marLeft w:val="360"/>
          <w:marRight w:val="0"/>
          <w:marTop w:val="200"/>
          <w:marBottom w:val="0"/>
          <w:divBdr>
            <w:top w:val="none" w:sz="0" w:space="0" w:color="auto"/>
            <w:left w:val="none" w:sz="0" w:space="0" w:color="auto"/>
            <w:bottom w:val="none" w:sz="0" w:space="0" w:color="auto"/>
            <w:right w:val="none" w:sz="0" w:space="0" w:color="auto"/>
          </w:divBdr>
        </w:div>
      </w:divsChild>
    </w:div>
    <w:div w:id="1090546677">
      <w:bodyDiv w:val="1"/>
      <w:marLeft w:val="0"/>
      <w:marRight w:val="0"/>
      <w:marTop w:val="0"/>
      <w:marBottom w:val="0"/>
      <w:divBdr>
        <w:top w:val="none" w:sz="0" w:space="0" w:color="auto"/>
        <w:left w:val="none" w:sz="0" w:space="0" w:color="auto"/>
        <w:bottom w:val="none" w:sz="0" w:space="0" w:color="auto"/>
        <w:right w:val="none" w:sz="0" w:space="0" w:color="auto"/>
      </w:divBdr>
    </w:div>
    <w:div w:id="1423604809">
      <w:bodyDiv w:val="1"/>
      <w:marLeft w:val="0"/>
      <w:marRight w:val="0"/>
      <w:marTop w:val="0"/>
      <w:marBottom w:val="0"/>
      <w:divBdr>
        <w:top w:val="none" w:sz="0" w:space="0" w:color="auto"/>
        <w:left w:val="none" w:sz="0" w:space="0" w:color="auto"/>
        <w:bottom w:val="none" w:sz="0" w:space="0" w:color="auto"/>
        <w:right w:val="none" w:sz="0" w:space="0" w:color="auto"/>
      </w:divBdr>
    </w:div>
    <w:div w:id="1865749771">
      <w:bodyDiv w:val="1"/>
      <w:marLeft w:val="0"/>
      <w:marRight w:val="0"/>
      <w:marTop w:val="0"/>
      <w:marBottom w:val="0"/>
      <w:divBdr>
        <w:top w:val="none" w:sz="0" w:space="0" w:color="auto"/>
        <w:left w:val="none" w:sz="0" w:space="0" w:color="auto"/>
        <w:bottom w:val="none" w:sz="0" w:space="0" w:color="auto"/>
        <w:right w:val="none" w:sz="0" w:space="0" w:color="auto"/>
      </w:divBdr>
      <w:divsChild>
        <w:div w:id="949554673">
          <w:marLeft w:val="0"/>
          <w:marRight w:val="0"/>
          <w:marTop w:val="0"/>
          <w:marBottom w:val="0"/>
          <w:divBdr>
            <w:top w:val="none" w:sz="0" w:space="0" w:color="auto"/>
            <w:left w:val="none" w:sz="0" w:space="0" w:color="auto"/>
            <w:bottom w:val="none" w:sz="0" w:space="0" w:color="auto"/>
            <w:right w:val="none" w:sz="0" w:space="0" w:color="auto"/>
          </w:divBdr>
        </w:div>
      </w:divsChild>
    </w:div>
    <w:div w:id="1872108474">
      <w:bodyDiv w:val="1"/>
      <w:marLeft w:val="0"/>
      <w:marRight w:val="0"/>
      <w:marTop w:val="0"/>
      <w:marBottom w:val="0"/>
      <w:divBdr>
        <w:top w:val="none" w:sz="0" w:space="0" w:color="auto"/>
        <w:left w:val="none" w:sz="0" w:space="0" w:color="auto"/>
        <w:bottom w:val="none" w:sz="0" w:space="0" w:color="auto"/>
        <w:right w:val="none" w:sz="0" w:space="0" w:color="auto"/>
      </w:divBdr>
      <w:divsChild>
        <w:div w:id="589200696">
          <w:marLeft w:val="0"/>
          <w:marRight w:val="0"/>
          <w:marTop w:val="0"/>
          <w:marBottom w:val="0"/>
          <w:divBdr>
            <w:top w:val="none" w:sz="0" w:space="0" w:color="auto"/>
            <w:left w:val="none" w:sz="0" w:space="0" w:color="auto"/>
            <w:bottom w:val="none" w:sz="0" w:space="0" w:color="auto"/>
            <w:right w:val="none" w:sz="0" w:space="0" w:color="auto"/>
          </w:divBdr>
        </w:div>
      </w:divsChild>
    </w:div>
    <w:div w:id="1890065232">
      <w:bodyDiv w:val="1"/>
      <w:marLeft w:val="0"/>
      <w:marRight w:val="0"/>
      <w:marTop w:val="0"/>
      <w:marBottom w:val="0"/>
      <w:divBdr>
        <w:top w:val="none" w:sz="0" w:space="0" w:color="auto"/>
        <w:left w:val="none" w:sz="0" w:space="0" w:color="auto"/>
        <w:bottom w:val="none" w:sz="0" w:space="0" w:color="auto"/>
        <w:right w:val="none" w:sz="0" w:space="0" w:color="auto"/>
      </w:divBdr>
      <w:divsChild>
        <w:div w:id="1037967445">
          <w:marLeft w:val="0"/>
          <w:marRight w:val="0"/>
          <w:marTop w:val="0"/>
          <w:marBottom w:val="0"/>
          <w:divBdr>
            <w:top w:val="none" w:sz="0" w:space="0" w:color="auto"/>
            <w:left w:val="none" w:sz="0" w:space="0" w:color="auto"/>
            <w:bottom w:val="none" w:sz="0" w:space="0" w:color="auto"/>
            <w:right w:val="none" w:sz="0" w:space="0" w:color="auto"/>
          </w:divBdr>
        </w:div>
      </w:divsChild>
    </w:div>
    <w:div w:id="2009095078">
      <w:bodyDiv w:val="1"/>
      <w:marLeft w:val="0"/>
      <w:marRight w:val="0"/>
      <w:marTop w:val="0"/>
      <w:marBottom w:val="0"/>
      <w:divBdr>
        <w:top w:val="none" w:sz="0" w:space="0" w:color="auto"/>
        <w:left w:val="none" w:sz="0" w:space="0" w:color="auto"/>
        <w:bottom w:val="none" w:sz="0" w:space="0" w:color="auto"/>
        <w:right w:val="none" w:sz="0" w:space="0" w:color="auto"/>
      </w:divBdr>
      <w:divsChild>
        <w:div w:id="1687096317">
          <w:marLeft w:val="360"/>
          <w:marRight w:val="0"/>
          <w:marTop w:val="200"/>
          <w:marBottom w:val="0"/>
          <w:divBdr>
            <w:top w:val="none" w:sz="0" w:space="0" w:color="auto"/>
            <w:left w:val="none" w:sz="0" w:space="0" w:color="auto"/>
            <w:bottom w:val="none" w:sz="0" w:space="0" w:color="auto"/>
            <w:right w:val="none" w:sz="0" w:space="0" w:color="auto"/>
          </w:divBdr>
        </w:div>
      </w:divsChild>
    </w:div>
    <w:div w:id="2127237340">
      <w:bodyDiv w:val="1"/>
      <w:marLeft w:val="0"/>
      <w:marRight w:val="0"/>
      <w:marTop w:val="0"/>
      <w:marBottom w:val="0"/>
      <w:divBdr>
        <w:top w:val="none" w:sz="0" w:space="0" w:color="auto"/>
        <w:left w:val="none" w:sz="0" w:space="0" w:color="auto"/>
        <w:bottom w:val="none" w:sz="0" w:space="0" w:color="auto"/>
        <w:right w:val="none" w:sz="0" w:space="0" w:color="auto"/>
      </w:divBdr>
      <w:divsChild>
        <w:div w:id="4202179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9.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0476FD-642A-4D57-9288-AB453C758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309</TotalTime>
  <Pages>7</Pages>
  <Words>1056</Words>
  <Characters>6024</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Source:</vt:lpstr>
    </vt:vector>
  </TitlesOfParts>
  <Company>Qualcomm Europe</Company>
  <LinksUpToDate>false</LinksUpToDate>
  <CharactersWithSpaces>7066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Qualcomm</dc:creator>
  <cp:keywords/>
  <dc:description/>
  <cp:lastModifiedBy>Dhanda, Mungal</cp:lastModifiedBy>
  <cp:revision>19</cp:revision>
  <cp:lastPrinted>2008-10-09T19:58:00Z</cp:lastPrinted>
  <dcterms:created xsi:type="dcterms:W3CDTF">2015-02-27T23:15:00Z</dcterms:created>
  <dcterms:modified xsi:type="dcterms:W3CDTF">2015-03-03T16:45:00Z</dcterms:modified>
</cp:coreProperties>
</file>